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WpAIV — Berechnung des Stimmrechtsanteils für die Mitteilung nach § 38 Absatz 1 Satz 1 des Wertpapierhandelsgesetzes</w:t>
      </w:r>
    </w:p>
    <w:p>
      <w:r>
        <w:rPr>
          <w:color w:val="555555"/>
          <w:sz w:val="18"/>
        </w:rPr>
        <w:t xml:space="preserve">Wertpapierhandelsanzeigeverordnung</w:t>
      </w:r>
    </w:p>
    <w:p>
      <w:r>
        <w:rPr>
          <w:color w:val="555555"/>
          <w:sz w:val="18"/>
        </w:rPr>
        <w:t xml:space="preserve">Stand: 10.06.2019 (konsolidierte Textfassung, kein amtliches Inkrafttretensdatum)</w:t>
      </w:r>
    </w:p>
    <w:p>
      <w:r>
        <w:t xml:space="preserve">Nicht einzubeziehen in die Berechnung des Stimmrechtsanteils nach § 38 Absatz 3 des Wertpapierhandelsgesetzes sind Instrumente im Sinne des § 38 Absatz 1 Satz 1 des Wertpapierhandelsgesetzes, die sich auf eigene Aktien eines Emittenten, für den die Bundesrepublik Deutschland der Herkunftsstaat ist, beziehen und es diesem Emittenten auf Grund ihrer Ausgestaltung ermöglichen, solche Aktien zu erwerben.</w:t>
      </w:r>
    </w:p>
    <w:p>
      <w:r>
        <w:rPr>
          <w:color w:val="555555"/>
          <w:sz w:val="17"/>
        </w:rPr>
        <w:t xml:space="preserve">Zitiervorschlag: § 13 WpAIV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https://recht.nulegal.eu/gesetze/WpAIV/13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