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WpAIV — Inhalt der Mitteilung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eine Mitteilung nach § 33 Absatz 1 und 2, § 38 Absatz 1 und § 39 Absatz 1 des Wertpapierhandelsgesetzes ist das Formular der Anlage dieser Verordnung zu verwenden.</w:t>
      </w:r>
    </w:p>
    <w:p>
      <w:r>
        <w:t xml:space="preserve">(2) Im Fall von § 37 Absatz 1 des Wertpapierhandelsgesetzes genügt zur Erfüllung der Mitteilungspflicht des Tochterunternehmens die Abgabe einer Mitteilung durch das Mutterunternehmen des meldepflichtigen Tochterunternehmens gemäß dem Formular der Anlage dieser Verordnung.</w:t>
      </w:r>
    </w:p>
    <w:p>
      <w:r>
        <w:t xml:space="preserve">(3) Für die Zwecke der Berechnung des Stimmrechtsanteils ist die letzte Veröffentlichung nach § 41 des Wertpapierhandelsgesetzes zugrunde zu legen.</w:t>
      </w:r>
    </w:p>
    <w:p>
      <w:r>
        <w:t xml:space="preserve">(4) Die Bundesanstalt kann die nach § 40 des Wertpapierhandelsgesetzes veröffentlichten Angaben verarbeiten, soweit dies erforderlich ist, um die Transparenz von wesentlichen Beteiligungen an Inlandsemittenten, deren Aktien an einem organisierten Markt zugelassen sind, zu fördern.</w:t>
      </w:r>
    </w:p>
    <w:p>
      <w:r>
        <w:rPr>
          <w:color w:val="555555"/>
          <w:sz w:val="17"/>
        </w:rPr>
        <w:t xml:space="preserve">Zitiervorschlag: § 12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