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WpAIV — Anwendungsbereich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anzuwenden auf:</w:t>
      </w:r>
    </w:p>
    <w:p>
      <w:pPr>
        <w:ind w:left="420"/>
      </w:pPr>
      <w:r>
        <w:t xml:space="preserve">1. die Wahl des Herkunftsstaates nach § 4 des Wertpapierhandelsgesetzes und die Veröffentlichung des Herkunftsstaates nach § 5 des Wertpapierhandelsgesetzes,</w:t>
      </w:r>
    </w:p>
    <w:p>
      <w:pPr>
        <w:ind w:left="420"/>
      </w:pPr>
      <w:r>
        <w:t xml:space="preserve">2. die Anzeige von Verdachtsfällen nach § 23 des Wertpapierhandelsgesetzes,</w:t>
      </w:r>
    </w:p>
    <w:p>
      <w:pPr>
        <w:ind w:left="420"/>
      </w:pPr>
      <w:r>
        <w:t xml:space="preserve">3. die Übermittlung der Vorabmitteilung über die Veröffentlichung von Insiderinformationen nach § 26 Absatz 1 des Wertpapierhandelsgesetzes,</w:t>
      </w:r>
    </w:p>
    <w:p>
      <w:pPr>
        <w:ind w:left="420"/>
      </w:pPr>
      <w:r>
        <w:t xml:space="preserve">4. den Mindestinhalt, die Art, die Sprache, den Umfang und die Form einer Veröffentlichung nach Artikel 17 Absatz 1, 2 und 6 bis 9 der Verordnung (EU) Nr. 596/2014 des Europäischen Parlaments und des Rates vom 16. April 2014 über Marktmissbrauch (Marktmissbrauchsverordnung) und zur Aufhebung der Richtlinie 2003/6/EG des Europäischen Parlaments und des Rates und der Richtlinien 2003/124/EG, 2003/125/EG und 2004/72/EG der Kommission (ABl. L 173 vom 12.6.2014, S. 1; L 287 vom 21.10.2016, S. 320; L 306 vom 15.11.2016, S. 43; L 348 vom 21.12.2016, S. 83), die zuletzt durch die Verordnung (EU) 2016/1033 (ABl. L 175 vom 30.6.2016, S. 1) geändert worden ist,</w:t>
      </w:r>
    </w:p>
    <w:p>
      <w:pPr>
        <w:ind w:left="420"/>
      </w:pPr>
      <w:r>
        <w:t xml:space="preserve">5. die Bedingungen, die ein Emittent oder Teilnehmer am Markt für Emissionszertifikate nach Artikel 17 Absatz 4 Unterabsatz 1 der Verordnung (EU) Nr. 596/2014 erfüllen muss, um die Offenlegung von Insiderinformationen aufzuschieben,</w:t>
      </w:r>
    </w:p>
    <w:p>
      <w:pPr>
        <w:ind w:left="420"/>
      </w:pPr>
      <w:r>
        <w:t xml:space="preserve">6. die Art und Weise der Übermittlung sowie den Mindestinhalt einer Mitteilung nach Artikel 17 Absatz 4 Unterabsatz 3 Satz 1 und Absatz 6 Unterabsatz 1 Satz 1 der Verordnung (EU) Nr. 596/2014,</w:t>
      </w:r>
    </w:p>
    <w:p>
      <w:pPr>
        <w:ind w:left="420"/>
      </w:pPr>
      <w:r>
        <w:t xml:space="preserve">7. die Sprache einer Meldung nach Artikel 19 Absatz 1 der Verordnung (EU) Nr. 596/2014,</w:t>
      </w:r>
    </w:p>
    <w:p>
      <w:pPr>
        <w:ind w:left="420"/>
      </w:pPr>
      <w:r>
        <w:t xml:space="preserve">8. den Inhalt, die Art, den Umfang und die Form einer zusätzlichen Veröffentlichung der Informationen nach Artikel 19 Absatz 3 der Verordnung (EU) Nr. 596/2014 durch die Bundesanstalt gemäß Artikel 19 Absatz 3 Unterabsatz 3 der Verordnung (EU) Nr. 596/2014,</w:t>
      </w:r>
    </w:p>
    <w:p>
      <w:pPr>
        <w:ind w:left="420"/>
      </w:pPr>
      <w:r>
        <w:t xml:space="preserve">9. die Mitteilung über die Veröffentlichung von Eigengeschäften von Führungskräften nach § 26 Absatz 2 des Wertpapierhandelsgesetzes,</w:t>
      </w:r>
    </w:p>
    <w:p>
      <w:pPr>
        <w:ind w:left="420"/>
      </w:pPr>
      <w:r>
        <w:t xml:space="preserve">10. die Veröffentlichung und Mitteilung bei Veränderungen des Stimmrechtsanteils nach Abschnitt 6 des Wertpapierhandelsgesetzes, wobei die Vorschriften der Stimmrechtsmitteilungsverordnung zu Art und Form der Mitteilung unberührt bleiben,</w:t>
      </w:r>
    </w:p>
    <w:p>
      <w:pPr>
        <w:ind w:left="420"/>
      </w:pPr>
      <w:r>
        <w:t xml:space="preserve">11. die Veröffentlichung und Mitteilung zusätzlicher Angaben nach § 50 des Wertpapierhandelsgesetzes und</w:t>
      </w:r>
    </w:p>
    <w:p>
      <w:pPr>
        <w:ind w:left="420"/>
      </w:pPr>
      <w:r>
        <w:t xml:space="preserve">12. die Veröffentlichung und Speicherung von Finanzberichten nach Abschnitt 16 Unterabschnitt 2 des Wertpapierhandelsgesetzes.</w:t>
      </w:r>
    </w:p>
    <w:p>
      <w:r>
        <w:rPr>
          <w:color w:val="555555"/>
          <w:sz w:val="17"/>
        </w:rPr>
        <w:t xml:space="preserve">Zitiervorschlag: § 1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