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WpÜGWidV</w:t>
      </w:r>
    </w:p>
    <w:p>
      <w:r>
        <w:rPr>
          <w:color w:val="555555"/>
          <w:sz w:val="18"/>
        </w:rPr>
        <w:t xml:space="preserve">WpÜG-Widerspruchsausschuss-Verordnung</w:t>
      </w:r>
    </w:p>
    <w:p>
      <w:r>
        <w:rPr>
          <w:color w:val="555555"/>
          <w:sz w:val="18"/>
        </w:rPr>
        <w:t xml:space="preserve">Historische Fassung: Stand 10.06.2019 bis 09.07.2021. Dies ist nicht die aktuelle Fassung.</w:t>
      </w:r>
    </w:p>
    <w:p>
      <w:r>
        <w:t xml:space="preserve">Auf Grund des § 6 Abs. 4 Satz 1 des Wertpapiererwerbs- und Übernahmegesetzes vom 20. Dezember 2001 (BGBl. I S. 3822) verordnet das Bundesministerium der Finanzen:</w:t>
      </w:r>
    </w:p>
    <w:p>
      <w:r>
        <w:rPr>
          <w:color w:val="555555"/>
          <w:sz w:val="17"/>
        </w:rPr>
        <w:t xml:space="preserve">Zitiervorschlag: Eingangsformel WpÜGWidV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https://recht.nulegal.eu/gesetze/Wp%C3%9CGWidV/eingangsformel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