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WpÜGWidV — Vorzeitige Beendigung der Bestellung</w:t>
      </w:r>
    </w:p>
    <w:p>
      <w:r>
        <w:rPr>
          <w:color w:val="555555"/>
          <w:sz w:val="18"/>
        </w:rPr>
        <w:t xml:space="preserve">WpÜG-Widerspruchsausschuss-Verordnung</w:t>
      </w:r>
    </w:p>
    <w:p>
      <w:r>
        <w:rPr>
          <w:color w:val="555555"/>
          <w:sz w:val="18"/>
        </w:rPr>
        <w:t xml:space="preserve">Historische Fassung: Stand 10.06.2019 bis 09.07.2021. Dies ist nicht die aktuelle Fassung.</w:t>
      </w:r>
    </w:p>
    <w:p>
      <w:r>
        <w:t xml:space="preserve">Der Präsident der Bundesanstalt kann einen Beisitzer nach § 86 des Verwaltungsverfahrensgesetzes abberufen. In diesem Fall wird ein neuer Beisitzer nach § 1 Abs. 1 bis zum Ablauf der ursprünglichen Bestellung des abberufenen Beisitzers bestellt.</w:t>
      </w:r>
    </w:p>
    <w:p>
      <w:r>
        <w:rPr>
          <w:color w:val="555555"/>
          <w:sz w:val="17"/>
        </w:rPr>
        <w:t xml:space="preserve">Zitiervorschlag: § 2 WpÜGWidV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https://recht.nulegal.eu/gesetze/Wp%C3%9CGWidV/2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