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WpÜGGebV</w:t>
      </w:r>
    </w:p>
    <w:p>
      <w:r>
        <w:rPr>
          <w:color w:val="555555"/>
          <w:sz w:val="18"/>
        </w:rPr>
        <w:t xml:space="preserve">WpÜG-Gebührenverordnung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47 Satz 2 des Wertpapiererwerbs- und Übernahmegesetzes vom 20. Dezember 2001 (BGBl. I S. 3822) in Verbindung mit dem 2. Abschnitt des Verwaltungskostengesetzes vom 23. Juni 1970 (BGBl. I S. 821) verordnet das Bundesministerium der Finanzen:</w:t>
      </w:r>
    </w:p>
    <w:p>
      <w:r>
        <w:rPr>
          <w:color w:val="555555"/>
          <w:sz w:val="17"/>
        </w:rPr>
        <w:t xml:space="preserve">Zitiervorschlag: Eingangsformel WpÜGGebV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