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WpÜGGebV — Übergangsregelung</w:t>
      </w:r>
    </w:p>
    <w:p>
      <w:r>
        <w:rPr>
          <w:color w:val="555555"/>
          <w:sz w:val="18"/>
        </w:rPr>
        <w:t xml:space="preserve">WpÜG-Gebührenverordnung</w:t>
      </w:r>
    </w:p>
    <w:p>
      <w:r>
        <w:rPr>
          <w:color w:val="555555"/>
          <w:sz w:val="18"/>
        </w:rPr>
        <w:t xml:space="preserve">Historische Fassung: Stand 16.06.2021 bis 01.10.2021. Dies ist nicht die aktuelle Fassung.</w:t>
      </w:r>
    </w:p>
    <w:p>
      <w:r>
        <w:t xml:space="preserve">Auf Widersprüche, die vor dem 11. Juni 2021 eingelegt wurden, findet diese Verordnung in der vor dem 11. Juni 2021 geltenden Fassung Anwendung.</w:t>
      </w:r>
    </w:p>
    <w:p>
      <w:r>
        <w:rPr>
          <w:color w:val="555555"/>
          <w:sz w:val="17"/>
        </w:rPr>
        <w:t xml:space="preserve">Zitiervorschlag: § 5 WpÜGGebV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https://recht.nulegal.eu/gesetze/Wp%C3%9CGGebV/5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