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WpÜGGebV — Gebührenpflichtige Handlungen</w:t>
      </w:r>
    </w:p>
    <w:p>
      <w:r>
        <w:rPr>
          <w:color w:val="555555"/>
          <w:sz w:val="18"/>
        </w:rPr>
        <w:t xml:space="preserve">WpÜG-Gebührenverordnung</w:t>
      </w:r>
    </w:p>
    <w:p>
      <w:r>
        <w:rPr>
          <w:color w:val="555555"/>
          <w:sz w:val="18"/>
        </w:rPr>
        <w:t xml:space="preserve">Historische Fassung: Stand 16.06.2021 bis 01.10.2021. Dies ist nicht die aktuelle Fassung.</w:t>
      </w:r>
    </w:p>
    <w:p>
      <w:r>
        <w:t xml:space="preserve">(1) Gebührenpflichtige Handlungen sind:</w:t>
      </w:r>
    </w:p>
    <w:p>
      <w:pPr>
        <w:ind w:left="420"/>
      </w:pPr>
      <w:r>
        <w:t xml:space="preserve">1. die Entscheidung über einen Antrag auf gleichzeitige Vornahme der Mitteilung und der Veröffentlichung nach § 10 Abs. 2 Satz 3 des Wertpapiererwerbs- und Übernahmegesetzes,</w:t>
      </w:r>
    </w:p>
    <w:p>
      <w:pPr>
        <w:ind w:left="420"/>
      </w:pPr>
      <w:r>
        <w:t xml:space="preserve">2. die Gestattung der Veröffentlichung der Angebotsunterlage oder das Verstreichenlassen der in § 14 Abs. 2 Satz 1 des Wertpapiererwerbs- und Übernahmegesetzes genannten Frist,</w:t>
      </w:r>
    </w:p>
    <w:p>
      <w:pPr>
        <w:ind w:left="420"/>
      </w:pPr>
      <w:r>
        <w:t xml:space="preserve">3. die Untersagung des Angebotes nach § 15 Abs. 1 oder 2 des Wertpapiererwerbs- und Übernahmegesetzes,</w:t>
      </w:r>
    </w:p>
    <w:p>
      <w:pPr>
        <w:ind w:left="420"/>
      </w:pPr>
      <w:r>
        <w:t xml:space="preserve">4. die Entscheidung über einen Antrag auf Befreiung nach § 20 Abs. 1 des Wertpapiererwerbs- und Übernahmegesetzes,</w:t>
      </w:r>
    </w:p>
    <w:p>
      <w:pPr>
        <w:ind w:left="420"/>
      </w:pPr>
      <w:r>
        <w:t xml:space="preserve">5. die Entscheidung über einen Antrag auf Ausnahme bestimmter Inhaber von Wertpapieren von einem Angebot nach § 24 des Wertpapiererwerbs- und Übernahmegesetzes,</w:t>
      </w:r>
    </w:p>
    <w:p>
      <w:pPr>
        <w:ind w:left="420"/>
      </w:pPr>
      <w:r>
        <w:t xml:space="preserve">6. die Untersagung von Werbung nach § 28 Abs. 1 des Wertpapiererwerbs- und Übernahmegesetzes,</w:t>
      </w:r>
    </w:p>
    <w:p>
      <w:pPr>
        <w:ind w:left="420"/>
      </w:pPr>
      <w:r>
        <w:t xml:space="preserve">7. die Entscheidung über einen Antrag auf Nichtberücksichtigung von Aktien der Zielgesellschaft bei der Berechnung des Stimmrechtsanteils nach § 36 des Wertpapiererwerbs- und Übernahmegesetzes,</w:t>
      </w:r>
    </w:p>
    <w:p>
      <w:pPr>
        <w:ind w:left="420"/>
      </w:pPr>
      <w:r>
        <w:t xml:space="preserve">8. die Entscheidung über einen Antrag auf Befreiung von der Verpflichtung zur Veröffentlichung und zur Abgabe eines Angebotes nach § 37 Abs. 1 des Wertpapiererwerbs- und Übernahmegesetzes,</w:t>
      </w:r>
    </w:p>
    <w:p>
      <w:pPr>
        <w:ind w:left="420"/>
      </w:pPr>
      <w:r>
        <w:t xml:space="preserve">9. die vollständige oder teilweise Zurückweisung eines Widerspruchs nach § 41 des Wertpapiererwerbs- und Übernahmegesetzes.</w:t>
      </w:r>
    </w:p>
    <w:p>
      <w:r>
        <w:t xml:space="preserve">(2) Eine Gebühr wird auch erhoben, wenn ein Antrag auf Vornahme einer nach Absatz 1 Nr. 1, 4, 5, 7 oder Nr. 8 gebührenpflichtigen Handlung nach Beginn der sachlichen Bearbeitung, jedoch vor deren Beendigung zurückgenommen wird.</w:t>
      </w:r>
    </w:p>
    <w:p>
      <w:r>
        <w:rPr>
          <w:color w:val="555555"/>
          <w:sz w:val="17"/>
        </w:rPr>
        <w:t xml:space="preserve">Zitiervorschlag: § 2 WpÜGGebV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