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WpÜGGebV — Anwendungsbereich</w:t>
      </w:r>
    </w:p>
    <w:p>
      <w:r>
        <w:rPr>
          <w:color w:val="555555"/>
          <w:sz w:val="18"/>
        </w:rPr>
        <w:t xml:space="preserve">WpÜG-Gebührenverordnung</w:t>
      </w:r>
    </w:p>
    <w:p>
      <w:r>
        <w:rPr>
          <w:color w:val="555555"/>
          <w:sz w:val="18"/>
        </w:rPr>
        <w:t xml:space="preserve">Historische Fassung: Stand 10.06.2019 bis 01.10.2021. Dies ist nicht die aktuelle Fassung.</w:t>
      </w:r>
    </w:p>
    <w:p>
      <w:r>
        <w:t xml:space="preserve">Die Bundesanstalt für Finanzdienstleistungsaufsicht (Bundesanstalt) erhebt zur Deckung der Verwaltungskosten für die nachfolgend aufgezählten Handlungen nach dem Wertpapiererwerbs- und Übernahmegesetz Gebühren und Auslagen nach Maßgabe dieser Verordnung.</w:t>
      </w:r>
    </w:p>
    <w:p>
      <w:r>
        <w:rPr>
          <w:color w:val="555555"/>
          <w:sz w:val="17"/>
        </w:rPr>
        <w:t xml:space="preserve">Zitiervorschlag: § 1 WpÜGGebV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https://recht.nulegal.eu/gesetze/Wp%C3%9CGGebV/1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WpÜGGebV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