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WpÜGAnwendV</w:t>
      </w:r>
    </w:p>
    <w:p>
      <w:r>
        <w:rPr>
          <w:color w:val="555555"/>
          <w:sz w:val="18"/>
        </w:rPr>
        <w:t xml:space="preserve">WpÜG-Anwendbarkeitsverordnung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in Verbindung mit Abs. 2 und 3 des Wertpapiererwerbs- und Übernahmegesetzes vom 20. Dezember 2001 (BGBl. I S. 3822), der durch Artikel 1 Nr. 2 des Gesetzes vom 8. Juli 2006 (BGBl. I S. 1426)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WpÜGAnwendV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https://recht.nulegal.eu/gesetze/Wp%C3%9CGAnwendV/eingangsformel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WpÜGAnwendV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