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WpÜGAnwendV — Inkrafttreten</w:t>
      </w:r>
    </w:p>
    <w:p>
      <w:r>
        <w:rPr>
          <w:color w:val="555555"/>
          <w:sz w:val="18"/>
        </w:rPr>
        <w:t xml:space="preserve">WpÜG-Anwendbarkeitsverordnung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3 WpÜGAnwendV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https://recht.nulegal.eu/gesetze/Wp%C3%9CGAnwendV/3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