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WpÜGAngebV</w:t>
      </w:r>
    </w:p>
    <w:p>
      <w:r>
        <w:rPr>
          <w:color w:val="555555"/>
          <w:sz w:val="18"/>
        </w:rPr>
        <w:t xml:space="preserve">WpÜG-Angebotsverordnung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11 Abs. 4, § 31 Abs. 7 Satz 1 und § 37 Abs. 2 Satz 1 des Wertpapiererwerbs- und Übernahmegesetzes vom 20. Dezember 2001 (BGBl. I S. 3822) verordnet das Bundesministerium der Finanzen:</w:t>
      </w:r>
    </w:p>
    <w:p>
      <w:r>
        <w:rPr>
          <w:color w:val="555555"/>
          <w:sz w:val="17"/>
        </w:rPr>
        <w:t xml:space="preserve">Zitiervorschlag: Eingangsformel WpÜGAngebV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https://recht.nulegal.eu/gesetze/Wp%C3%9CGAngebV/eingangsformel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