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WpÜGAngebV — Bestimmung des Wertes der Gegenleistung</w:t>
      </w:r>
    </w:p>
    <w:p>
      <w:r>
        <w:rPr>
          <w:color w:val="555555"/>
          <w:sz w:val="18"/>
        </w:rPr>
        <w:t xml:space="preserve">WpÜG-Angebotsverordnung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die vom Bieter angebotene Gegenleistung in Aktien, sind für die Bestimmung des Wertes dieser Aktien die §§ 5 und 6 entsprechend anzuwenden.</w:t>
      </w:r>
    </w:p>
    <w:p>
      <w:r>
        <w:rPr>
          <w:color w:val="555555"/>
          <w:sz w:val="17"/>
        </w:rPr>
        <w:t xml:space="preserve">Zitiervorschlag: § 7 WpÜGAngebV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https://recht.nulegal.eu/gesetze/Wp%C3%9CGAngebV/7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