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WpÜGAngebV — Antragsinhalt</w:t>
      </w:r>
    </w:p>
    <w:p>
      <w:r>
        <w:rPr>
          <w:color w:val="555555"/>
          <w:sz w:val="18"/>
        </w:rPr>
        <w:t xml:space="preserve">WpÜG-Angebotsverordnung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muss folgende Angaben enthalten:</w:t>
      </w:r>
    </w:p>
    <w:p>
      <w:pPr>
        <w:ind w:left="420"/>
      </w:pPr>
      <w:r>
        <w:t xml:space="preserve">1. Name oder Firma und Wohnsitz oder Sitz des Antragstellers,</w:t>
      </w:r>
    </w:p>
    <w:p>
      <w:pPr>
        <w:ind w:left="420"/>
      </w:pPr>
      <w:r>
        <w:t xml:space="preserve">2. Firma, Sitz und Rechtsform der Zielgesellschaft,</w:t>
      </w:r>
    </w:p>
    <w:p>
      <w:pPr>
        <w:ind w:left="420"/>
      </w:pPr>
      <w:r>
        <w:t xml:space="preserve">3. Anzahl der vom Bieter und den gemeinsam handelnden Personen bereits gehaltenen Aktien und Stimmrechte und die ihnen nach § 30 des Wertpapiererwerbs- und Übernahmegesetzes zuzurechnenden Stimmrechte,</w:t>
      </w:r>
    </w:p>
    <w:p>
      <w:pPr>
        <w:ind w:left="420"/>
      </w:pPr>
      <w:r>
        <w:t xml:space="preserve">4. Tag, an dem die Schwelle des § 29 Abs. 2 des Wertpapiererwerbs- und Übernahmegesetzes überschritten wurde, und</w:t>
      </w:r>
    </w:p>
    <w:p>
      <w:pPr>
        <w:ind w:left="420"/>
      </w:pPr>
      <w:r>
        <w:t xml:space="preserve">5. die den Antrag begründenden Tatsachen.</w:t>
      </w:r>
    </w:p>
    <w:p>
      <w:r>
        <w:rPr>
          <w:color w:val="555555"/>
          <w:sz w:val="17"/>
        </w:rPr>
        <w:t xml:space="preserve">Zitiervorschlag: § 10 WpÜGAngebV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https://recht.nulegal.eu/gesetze/Wp%C3%9CGAngebV/10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