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WpÜG — Zusammenarbeit mit Aufsichtsbehörden im Inland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02.12.2019 (konsolidierte Textfassung, kein amtliches Inkrafttretensdatum)</w:t>
      </w:r>
    </w:p>
    <w:p>
      <w:r>
        <w:t xml:space="preserve">(1) Das Bundeskartellamt und die Bundesanstalt haben einander die für die Erfüllung ihrer Aufgaben erforderlichen Informationen mitzuteilen. Die Bundesanstalt übermittelt dem Bundesministerium für Wirtschaft und Energie die ihr nach § 10 Abs. 2 Satz 1 Nr. 3 und § 35 Abs. 1 Satz 4 mitgeteilten Informationen und auf Ersuchen dieser Behörde die ihr nach § 14 Abs. 1 Satz 1 oder § 35 Abs. 2 Satz 1 übermittelte Angebotsunterlage. Bei der Übermittlung personenbezogener Daten ist § 25 Absatz 1 und 3 des Bundesdatenschutzgesetzes anzuwenden.</w:t>
      </w:r>
    </w:p>
    <w:p>
      <w:r>
        <w:t xml:space="preserve">(2) Die Bundesanstalt kann sich bei der Durchführung ihrer Aufgaben nach diesem Gesetz privater Personen und Einrichtungen bedienen.</w:t>
      </w:r>
    </w:p>
    <w:p>
      <w:r>
        <w:rPr>
          <w:color w:val="555555"/>
          <w:sz w:val="17"/>
        </w:rPr>
        <w:t xml:space="preserve">Zitiervorschlag: § 7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