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64 WpÜG — Wiederaufnahme gegen Bußgeldbescheid</w:t>
      </w:r>
    </w:p>
    <w:p>
      <w:r>
        <w:rPr>
          <w:color w:val="555555"/>
          <w:sz w:val="18"/>
        </w:rPr>
        <w:t xml:space="preserve">Wertpapiererwerbs- und Übernahmegesetz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Im Wiederaufnahmeverfahren gegen den Bußgeldbescheid der Bundesanstalt (§ 85 Abs. 4 des Gesetzes über Ordnungswidrigkeiten) entscheidet das nach § 62 Abs. 1 zuständige Gericht.</w:t>
      </w:r>
    </w:p>
    <w:p>
      <w:r>
        <w:rPr>
          <w:color w:val="555555"/>
          <w:sz w:val="17"/>
        </w:rPr>
        <w:t xml:space="preserve">Zitiervorschlag: § 64 WpÜG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https://recht.nulegal.eu/gesetze/Wp%C3%9CG/64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