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WpÜG — Bußgeldvorschriften</w:t>
      </w:r>
    </w:p>
    <w:p>
      <w:r>
        <w:rPr>
          <w:color w:val="555555"/>
          <w:sz w:val="18"/>
        </w:rPr>
        <w:t xml:space="preserve">Wertpapiererwerbs- und Übernahmegesetz</w:t>
      </w:r>
    </w:p>
    <w:p>
      <w:r>
        <w:rPr>
          <w:color w:val="555555"/>
          <w:sz w:val="18"/>
        </w:rPr>
        <w:t xml:space="preserve">Stand: 01.01.2024 (konsolidierte Textfassung, kein amtliches Inkrafttretensdatum)</w:t>
      </w:r>
    </w:p>
    <w:p>
      <w:r>
        <w:t xml:space="preserve">(1) Ordnungswidrig handelt, wer vorsätzlich oder leichtfertig</w:t>
      </w:r>
    </w:p>
    <w:p>
      <w:pPr>
        <w:ind w:left="420"/>
      </w:pPr>
      <w:r>
        <w:t xml:space="preserve">1. entgegen</w:t>
      </w:r>
    </w:p>
    <w:p>
      <w:pPr>
        <w:ind w:left="780"/>
      </w:pPr>
      <w:r>
        <w:t xml:space="preserve">a) § 10 Abs. 1 Satz 1, § 14 Abs. 2 Satz 1 oder § 35 Abs.1 Satz 1 oder Abs. 2 Satz 1,</w:t>
      </w:r>
    </w:p>
    <w:p>
      <w:pPr>
        <w:ind w:left="780"/>
      </w:pPr>
      <w:r>
        <w:t xml:space="preserve">b) § 21 Abs. 2 Satz 1, § 23 Abs. 1 Satz 1 oder Abs. 2 Satz 1 oder § 27 Abs. 3 Satz 1 oder</w:t>
      </w:r>
    </w:p>
    <w:p>
      <w:pPr>
        <w:ind w:left="780"/>
      </w:pPr>
      <w:r>
        <w:t xml:space="preserve">c) § 1 Abs. 5 Satz 2 in Verbindung mit einer Rechtsverordnung nach § 1 Abs. 5 Satz 3</w:t>
      </w:r>
    </w:p>
    <w:p>
      <w:pPr>
        <w:ind w:left="420"/>
      </w:pPr>
      <w:r>
        <w:t xml:space="preserve">eine Veröffentlichung nicht, nicht richtig, nicht vollständig, nicht in der vorgeschriebenen Weise oder nicht rechtzeitig vornimmt,</w:t>
      </w:r>
    </w:p>
    <w:p>
      <w:pPr>
        <w:ind w:left="420"/>
      </w:pPr>
      <w:r>
        <w:t xml:space="preserve">2. entgegen</w:t>
      </w:r>
    </w:p>
    <w:p>
      <w:pPr>
        <w:ind w:left="780"/>
      </w:pPr>
      <w:r>
        <w:t xml:space="preserve">a) § 10 Abs. 2 Satz 1, auch in Verbindung mit § 35 Abs.1 Satz 4, § 14 Abs. 1 Satz 1 oder § 35 Abs. 2 Satz 1,</w:t>
      </w:r>
    </w:p>
    <w:p>
      <w:pPr>
        <w:ind w:left="780"/>
      </w:pPr>
      <w:r>
        <w:t xml:space="preserve">b) § 10 Abs. 5, auch in Verbindung mit § 35 Abs. 1 Satz 4, oder § 14 Abs. 4, auch in Verbindung mit § 21 Abs. 2 Satz 2 oder § 35 Abs. 2 Satz 2, oder</w:t>
      </w:r>
    </w:p>
    <w:p>
      <w:pPr>
        <w:ind w:left="780"/>
      </w:pPr>
      <w:r>
        <w:t xml:space="preserve">c) § 27 Abs. 3 Satz 2</w:t>
      </w:r>
    </w:p>
    <w:p>
      <w:pPr>
        <w:ind w:left="420"/>
      </w:pPr>
      <w:r>
        <w:t xml:space="preserve">eine Mitteilung, Unterrichtung oder Übermittlung nicht, nicht richtig, nicht vollständig, nicht in der vorgeschriebenen Weise oder nicht rechtzeitig vornimmt,</w:t>
      </w:r>
    </w:p>
    <w:p>
      <w:pPr>
        <w:ind w:left="420"/>
      </w:pPr>
      <w:r>
        <w:t xml:space="preserve">3. entgegen § 10 Abs. 3 Satz 3, auch in Verbindung mit § 35 Abs. 1 Satz 4, oder § 14 Abs. 2 Satz 2, auch in Verbindung mit § 35 Abs. 2 Satz 2, eine Veröffentlichung vornimmt oder eine Angebotsunterlage bekannt gibt,</w:t>
      </w:r>
    </w:p>
    <w:p>
      <w:pPr>
        <w:ind w:left="420"/>
      </w:pPr>
      <w:r>
        <w:t xml:space="preserve">4. entgegen § 10 Abs. 4 Satz 1, auch in Verbindung mit § 35 Abs. 1 Satz 4, eine Veröffentlichung nicht, nicht richtig, nicht vollständig oder nicht rechtzeitig übersendet,</w:t>
      </w:r>
    </w:p>
    <w:p>
      <w:pPr>
        <w:ind w:left="420"/>
      </w:pPr>
      <w:r>
        <w:t xml:space="preserve">5. entgegen § 14 Abs. 3 Satz 2, auch in Verbindung mit § 14 Absatz 3 Satz 3, § 21 Abs. 2 Satz 2, § 23 Absatz 1 Satz 2 oder Absatz 2 Satz 2, § 33c Absatz 3 Satz 5 oder § 35 Abs. 2 Satz 2, oder entgegen § 27 Abs. 3 Satz 3 eine Mitteilung nicht, nicht richtig oder nicht rechtzeitig macht,</w:t>
      </w:r>
    </w:p>
    <w:p>
      <w:pPr>
        <w:ind w:left="420"/>
      </w:pPr>
      <w:r>
        <w:t xml:space="preserve">6. entgegen § 15 Abs. 3 eine Veröffentlichung vornimmt,</w:t>
      </w:r>
    </w:p>
    <w:p>
      <w:pPr>
        <w:ind w:left="420"/>
      </w:pPr>
      <w:r>
        <w:t xml:space="preserve">7. entgegen § 26 Absatz 1 oder 2 ein Angebot abgibt,</w:t>
      </w:r>
    </w:p>
    <w:p>
      <w:pPr>
        <w:ind w:left="420"/>
      </w:pPr>
      <w:r>
        <w:t xml:space="preserve">7a. entgegen § 26 Absatz 1 oder 2 seine Absicht, ein Angebot abzugeben, gemäß § 10 Absatz 3 Satz 1 veröffentlicht,</w:t>
      </w:r>
    </w:p>
    <w:p>
      <w:pPr>
        <w:ind w:left="420"/>
      </w:pPr>
      <w:r>
        <w:t xml:space="preserve">8. entgegen § 33 Abs. 1 Satz 1 oder § 33a Abs. 2 Satz 1 eine dort genannte Handlung vornimmt,</w:t>
      </w:r>
    </w:p>
    <w:p>
      <w:pPr>
        <w:ind w:left="420"/>
      </w:pPr>
      <w:r>
        <w:t xml:space="preserve">9. entgegen § 33a Abs. 3, § 33b Abs. 3 oder § 33c Abs. 3 Satz 3 eine Unterrichtung nicht, nicht richtig, nicht vollständig oder nicht rechtzeitig vornimmt oder</w:t>
      </w:r>
    </w:p>
    <w:p>
      <w:pPr>
        <w:ind w:left="420"/>
      </w:pPr>
      <w:r>
        <w:t xml:space="preserve">10. entgegen § 33c Abs. 3 Satz 4 eine Veröffentlichung nicht, nicht richtig, nicht vollständig, nicht in der vorgeschriebenen Weise oder nicht rechtzeitig vornimmt.</w:t>
      </w:r>
    </w:p>
    <w:p>
      <w:r>
        <w:t xml:space="preserve">(2) Ordnungswidrig handelt, wer vorsätzlich oder fahrlässig</w:t>
      </w:r>
    </w:p>
    <w:p>
      <w:pPr>
        <w:ind w:left="420"/>
      </w:pPr>
      <w:r>
        <w:t xml:space="preserve">1. einer vollziehbaren Anordnung nach § 28 Abs. 1 oder § 40 Abs. 1 Satz 1 zuwiderhandelt oder</w:t>
      </w:r>
    </w:p>
    <w:p>
      <w:pPr>
        <w:ind w:left="420"/>
      </w:pPr>
      <w:r>
        <w:t xml:space="preserve">2. entgegen § 40 Abs. 2 Satz 1 oder 2 ein Betreten nicht gestattet oder nicht duldet.</w:t>
      </w:r>
    </w:p>
    <w:p>
      <w:r>
        <w:t xml:space="preserve">(3) Die Ordnungswidrigkeit kann in den Fällen des Absatzes 1 Nummer 1 Buchstabe a, Nummer 3, 6 bis 8 mit einer Geldbuße bis zu fünf Millionen Euro, in den Fällen des Absatzes 1 Nummer 1 Buchstabe b, Nummer 2 Buchstabe a und Nummer 4 mit einer Geldbuße bis zu zweieinhalb Millionen Euro und in den übrigen Fällen mit einer Geldbuße bis zu einer Million Euro geahndet werden.</w:t>
      </w:r>
    </w:p>
    <w:p>
      <w:r>
        <w:t xml:space="preserve">(4) Gegenüber einer juristischen Person oder Personenvereinigung kann über Absatz 3 hinaus eine höhere Geldbuße verhängt werden; diese darf</w:t>
      </w:r>
    </w:p>
    <w:p>
      <w:pPr>
        <w:ind w:left="420"/>
      </w:pPr>
      <w:r>
        <w:t xml:space="preserve">1. in den Fällen des Absatzes 1 Nummer 1 Buchstabe a, Nummer 3, 6 bis 8 den höheren der Beträge von zehn Millionen Euro und 5 Prozent des Gesamtumsatzes, den die juristische Person oder Personenvereinigung im der Behördenentscheidung vorausgegangenen Geschäftsjahr erzielt hat,</w:t>
      </w:r>
    </w:p>
    <w:p>
      <w:pPr>
        <w:ind w:left="420"/>
      </w:pPr>
      <w:r>
        <w:t xml:space="preserve">2. in den Fällen des Absatzes 1 Nummer 1 Buchstabe b, Nummer 2 Buchstabe a und Nummer 4 den höheren der Beträge von fünf Millionen Euro und 2 Prozent des Gesamtumsatzes, den die juristische Person oder Personenvereinigung im der Behördenentscheidung vorangegangenen Geschäftsjahr erzielt hat, und</w:t>
      </w:r>
    </w:p>
    <w:p>
      <w:pPr>
        <w:ind w:left="420"/>
      </w:pPr>
      <w:r>
        <w:t xml:space="preserve">3. in den übrigen Fällen zwei Millionen Euro</w:t>
      </w:r>
    </w:p>
    <w:p>
      <w:r>
        <w:t xml:space="preserve">nicht überschreiten.</w:t>
      </w:r>
    </w:p>
    <w:p>
      <w:r>
        <w:t xml:space="preserve">(5) Über die in den Absätzen 3 und 4 genannten Beträge hinaus kann die Ordnungswidrigkeit mit einer Geldbuße bis zum Zweifachen des aus dem Verstoß gezogenen wirtschaftlichen Vorteils geahndet werden. Der wirtschaftliche Vorteil umfasst erzielte Gewinne und vermiedene Verluste und kann geschätzt werden.</w:t>
      </w:r>
    </w:p>
    <w:p>
      <w:r>
        <w:t xml:space="preserve">(6) Gesamtumsatz im Sinne des Absatzes 4 ist</w:t>
      </w:r>
    </w:p>
    <w:p>
      <w:pPr>
        <w:ind w:left="420"/>
      </w:pPr>
      <w:r>
        <w:t xml:space="preserve">1. im Falle von Kreditinstituten, Zahlungsinstituten, Wertpapierinstituten und Finanzdienstleistungsinstituten im Sinne des § 340 des Handelsgesetzbuchs der Gesamtbetrag, der sich aus dem auf das Institut anwendbaren nationalen Recht im Einklang mit Artikel 27 Nummer 1, 3, 4, 6 und 7 oder Artikel 28 Nummer B1, B2, B3, B4 und B7 der Richtlinie 86/635/EWG des Rates vom 8. Dezember 1986 über den Jahresabschluss und den konsolidierten Abschluss von Banken und anderen Finanzinstituten (ABl. L 372 vom 31.12.1986, S. 1; L 316 vom 23.11.1988, S. 51), die zuletzt durch die Richtlinie 2006/46/EG (ABl. L 224 vom 16.8.2006, S. 1) geändert worden ist, ergibt, abzüglich der Umsatzsteuer und sonstiger direkt auf diese Erträge erhobener Steuern,</w:t>
      </w:r>
    </w:p>
    <w:p>
      <w:pPr>
        <w:ind w:left="420"/>
      </w:pPr>
      <w:r>
        <w:t xml:space="preserve">2. im Falle von Versicherungsunternehmen der Gesamtbetrag, der sich aus dem auf das Versicherungsunternehmen anwendbaren nationalen Recht im Einklang mit Artikel 63 der Richtlinie 91/674/EWG des Rates vom 19. Dezember 1991 über den Jahresabschluss und den konsolidierten Abschluss von Versicherungsunternehmen (ABl. L 374 vom 31.12.1991, S. 7), die zuletzt durch die Richtlinie 2006/46/EG (ABl. L 224 vom 16.8.2006, S. 1) geändert worden ist, ergibt, abzüglich der Umsatzsteuer und sonstiger direkt auf diese Erträge erhobener Steuern,</w:t>
      </w:r>
    </w:p>
    <w:p>
      <w:pPr>
        <w:ind w:left="420"/>
      </w:pPr>
      <w:r>
        <w:t xml:space="preserve">3. im Übrigen der Betrag der Nettoumsatzerlöse nach Maßgabe des auf das Unternehmen anwendbaren nationalen Rechts im Einklang mit Artikel 2 Nummer 5 der Richtlinie 2013/34/EU des Europäischen Parlaments und des Rates vom 26. Juni 2013 über den Jahresabschluss, den konsolidierten Abschluss und damit verbundene Berichte von Unternehmen bestimmter Rechtsformen und zur Änderung der Richtlinie 2006/43/EG des Europäischen Parlaments und des Rates und zur Aufhebung der Richtlinien 78/660/EWG und 83/349/EWG des Rates (ABl. L 182 vom 29.6.2013, S. 19; L 369 vom 24.12.2014, S. 79), die zuletzt durch die Richtlinie 2014/102/EU (ABl. L 334 vom 21.11.2014, S. 86) geändert worden ist.</w:t>
      </w:r>
    </w:p>
    <w:p>
      <w:r>
        <w:t xml:space="preserve">(7) Handelt es sich bei der juristischen Person oder Personenvereinigung nach Absatz 4 um ein Mutterunternehmen oder um eine Tochtergesellschaft, so ist anstelle des Gesamtumsatzes der juristischen Person oder Personenvereinigung der jeweilige Gesamtbetrag in dem Konzernabschluss des Mutterunternehmens maßgeblich, der für den größten Kreis von Unternehmen aufgestellt wird. Wird der Konzernabschluss für den größten Kreis von Unternehmen nicht nach den in Absatz 6 genannten Vorschriften aufgestellt, ist der Gesamtumsatz nach Maßgabe der den in Absatz 6 Nummer 1 bis 3 vergleichbaren Posten des Konzernabschlusses zu ermitteln. Ist ein Jahresabschluss oder Konzernabschluss für das maßgebliche Geschäftsjahr nicht verfügbar, ist der Jahres- oder Konzernabschluss für das unmittelbar vorausgehende Geschäftsjahr maßgeblich; ist auch dieser nicht verfügbar, kann der Gesamtumsatz geschätzt werden.</w:t>
      </w:r>
    </w:p>
    <w:p>
      <w:r>
        <w:rPr>
          <w:color w:val="555555"/>
          <w:sz w:val="17"/>
        </w:rPr>
        <w:t xml:space="preserve">Zitiervorschlag: § 60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https://recht.nulegal.eu/gesetze/Wp%C3%9CG/60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