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WpÜG — Rechtsverlust</w:t>
      </w:r>
    </w:p>
    <w:p>
      <w:r>
        <w:rPr>
          <w:color w:val="555555"/>
          <w:sz w:val="18"/>
        </w:rPr>
        <w:t xml:space="preserve">Wertpapiererwerbs- und Übernahmegesetz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Rechte aus Aktien, die dem Bieter, mit ihm gemeinsam handelnden Personen oder deren Tochterunternehmen gehören oder aus denen ihm, mit ihm gemeinsam handelnden Personen oder deren Tochterunternehmen Stimmrechte gemäß § 30 Absatz 1 und 2 zugerechnet werden, bestehen nicht für die Zeit, für welche die Pflichten nach § 35 Abs. 1 oder 2 nicht erfüllt werden. Dies gilt nicht für Ansprüche nach § 58 Abs. 4 des Aktiengesetzes und § 271 des Aktiengesetzes, wenn die Veröffentlichung oder das Angebot nach § 35 Abs. 1 Satz 1 oder Abs. 2 Satz 1 nicht vorsätzlich unterlassen wurde und nachgeholt worden ist.</w:t>
      </w:r>
    </w:p>
    <w:p>
      <w:r>
        <w:rPr>
          <w:color w:val="555555"/>
          <w:sz w:val="17"/>
        </w:rPr>
        <w:t xml:space="preserve">Zitiervorschlag: § 59 WpÜG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