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48 WpÜG — Statthaftigkeit, Zuständigkeit</w:t>
      </w:r>
    </w:p>
    <w:p>
      <w:r>
        <w:rPr>
          <w:color w:val="555555"/>
          <w:sz w:val="18"/>
        </w:rPr>
        <w:t xml:space="preserve">Wertpapiererwerbs- und Übernahmegesetz</w:t>
      </w:r>
    </w:p>
    <w:p>
      <w:r>
        <w:rPr>
          <w:color w:val="555555"/>
          <w:sz w:val="18"/>
        </w:rPr>
        <w:t xml:space="preserve">Stand: 10.06.2019 (konsolidierte Textfassung, kein amtliches Inkrafttretensdatum)</w:t>
      </w:r>
    </w:p>
    <w:p>
      <w:r>
        <w:t xml:space="preserve">(1) Gegen Verfügungen der Bundesanstalt ist die Beschwerde statthaft. Sie kann auch auf neue Tatsachen und Beweismittel gestützt werden.</w:t>
      </w:r>
    </w:p>
    <w:p>
      <w:r>
        <w:t xml:space="preserve">(2) Die Beschwerde steht den am Verfahren vor der Bundesanstalt Beteiligten zu.</w:t>
      </w:r>
    </w:p>
    <w:p>
      <w:r>
        <w:t xml:space="preserve">(3) Die Beschwerde ist auch gegen die Unterlassung einer beantragten Verfügung der Bundesanstalt statthaft, auf deren Vornahme der Antragsteller ein Recht zu haben behauptet. Als Unterlassung gilt es auch, wenn die Bundesanstalt den Antrag auf Vornahme der Verfügung ohne zureichenden Grund in angemessener Frist nicht beschieden hat. Die Unterlassung ist dann einer Ablehnung gleich zu erachten.</w:t>
      </w:r>
    </w:p>
    <w:p>
      <w:r>
        <w:t xml:space="preserve">(4) Über die Beschwerde entscheidet ausschließlich das für den Sitz der Bundesanstalt in Frankfurt am Main zuständige Oberlandesgericht.</w:t>
      </w:r>
    </w:p>
    <w:p>
      <w:r>
        <w:rPr>
          <w:color w:val="555555"/>
          <w:sz w:val="17"/>
        </w:rPr>
        <w:t xml:space="preserve">Zitiervorschlag: § 48 WpÜG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https://recht.nulegal.eu/gesetze/Wp%C3%9CG/48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