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WpÜG — Zwangsmittel</w:t>
      </w:r>
    </w:p>
    <w:p>
      <w:r>
        <w:rPr>
          <w:color w:val="555555"/>
          <w:sz w:val="18"/>
        </w:rPr>
        <w:t xml:space="preserve">Wertpapiererwerbs- und Übernahmegesetz</w:t>
      </w:r>
    </w:p>
    <w:p>
      <w:r>
        <w:rPr>
          <w:color w:val="555555"/>
          <w:sz w:val="18"/>
        </w:rPr>
        <w:t xml:space="preserve">Stand: 10.06.2019 (konsolidierte Textfassung, kein amtliches Inkrafttretensdatum)</w:t>
      </w:r>
    </w:p>
    <w:p>
      <w:r>
        <w:t xml:space="preserve">Die Bundesanstalt kann Verfügungen, die nach diesem Gesetz ergehen, mit Zwangsmitteln nach den Bestimmungen des Verwaltungs-Vollstreckungsgesetzes durchsetzen. Sie kann auch Zwangsmittel gegen juristische Personen des öffentlichen Rechts anwenden. Widerspruch und Beschwerde gegen die Androhung und Festsetzung der Zwangsmittel nach den §§ 13 und 14 des Verwaltungs-Vollstreckungsgesetzes haben keine aufschiebende Wirkung. Die Höhe des Zwangsgeldes beträgt abweichend von § 11 des Verwaltungs-Vollstreckungsgesetzes bis zu 500.000 Euro.</w:t>
      </w:r>
    </w:p>
    <w:p>
      <w:r>
        <w:rPr>
          <w:color w:val="555555"/>
          <w:sz w:val="17"/>
        </w:rPr>
        <w:t xml:space="preserve">Zitiervorschlag: § 46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