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45 WpÜG — Mitteilungen an die Bundesanstalt</w:t>
      </w:r>
    </w:p>
    <w:p>
      <w:r>
        <w:rPr>
          <w:color w:val="555555"/>
          <w:sz w:val="18"/>
        </w:rPr>
        <w:t xml:space="preserve">Wertpapiererwerbs- und Übernahmegesetz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Anträge sowie nach diesem Gesetz oder nach einer auf Grundlage dieses Gesetzes erlassenen Rechtsverordnung erforderliche Mitteilungen, Erklärungen, Unterrichtungen oder Übermittlungen an die Bundesanstalt haben ausschließlich elektronisch über das Melde- und Veröffentlichungssystem der Bundesanstalt zu erfolgen.</w:t>
      </w:r>
    </w:p>
    <w:p>
      <w:r>
        <w:rPr>
          <w:color w:val="555555"/>
          <w:sz w:val="17"/>
        </w:rPr>
        <w:t xml:space="preserve">Zitiervorschlag: § 45 WpÜG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https://recht.nulegal.eu/gesetze/Wp%C3%9CG/45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45 WpÜG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