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WpÜG — Veröffentlichungsrecht der Bundesanstalt</w:t>
      </w:r>
    </w:p>
    <w:p>
      <w:r>
        <w:rPr>
          <w:color w:val="555555"/>
          <w:sz w:val="18"/>
        </w:rPr>
        <w:t xml:space="preserve">Wertpapiererwerbs- und Übernahmegesetz</w:t>
      </w:r>
    </w:p>
    <w:p>
      <w:r>
        <w:rPr>
          <w:color w:val="555555"/>
          <w:sz w:val="18"/>
        </w:rPr>
        <w:t xml:space="preserve">Stand: 16.06.2021 (konsolidierte Textfassung, kein amtliches Inkrafttretensdatum)</w:t>
      </w:r>
    </w:p>
    <w:p>
      <w:r>
        <w:t xml:space="preserve">Die Bundesanstalt kann ihre Verfügungen nach § 4 Absatz 1 Satz 3, § 10 Absatz 2 Satz 3, § 15 Absatz 1 und 2, § 20 Absatz 1, § 28, § 36 oder § 37 Absatz 1, auch in Verbindung mit einer Rechtsverordnung nach Absatz 2, auf ihrer Internetseite veröffentlichen.</w:t>
      </w:r>
    </w:p>
    <w:p>
      <w:r>
        <w:rPr>
          <w:color w:val="555555"/>
          <w:sz w:val="17"/>
        </w:rPr>
        <w:t xml:space="preserve">Zitiervorschlag: § 44 WpÜG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