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42 WpÜG — Sofortige Vollziehbarkeit</w:t>
      </w:r>
    </w:p>
    <w:p>
      <w:r>
        <w:rPr>
          <w:color w:val="555555"/>
          <w:sz w:val="18"/>
        </w:rPr>
        <w:t xml:space="preserve">Wertpapiererwerbs- und Übernahmegesetz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Widerspruch gegen Maßnahmen der Bundesanstalt nach § 4 Abs. 1 Satz 3, § 15 Abs. 1 oder 2, § 28 Abs. 1 oder § 40 Abs. 1 und 2 hat keine aufschiebende Wirkung.</w:t>
      </w:r>
    </w:p>
    <w:p>
      <w:r>
        <w:rPr>
          <w:color w:val="555555"/>
          <w:sz w:val="17"/>
        </w:rPr>
        <w:t xml:space="preserve">Zitiervorschlag: § 42 WpÜG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https://recht.nulegal.eu/gesetze/Wp%C3%9CG/42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