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39a WpÜG — Ausschluss der übrigen Aktionäre</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(1) Nach einem Übernahme- oder Pflichtangebot sind dem Bieter, dem Aktien der Zielgesellschaft in Höhe von mindestens 95 Prozent des stimmberechtigten Grundkapitals gehören, auf seinen Antrag die übrigen stimmberechtigten Aktien gegen Gewährung einer angemessenen Abfindung durch Gerichtsbeschluss zu übertragen. Gehören dem Bieter zugleich Aktien in Höhe von 95 Prozent des Grundkapitals der Zielgesellschaft, sind ihm auf Antrag auch die übrigen Vorzugsaktien ohne Stimmrecht zu übertragen.</w:t>
      </w:r>
    </w:p>
    <w:p>
      <w:r>
        <w:t xml:space="preserve">(2) Für die Feststellung der erforderlichen Beteiligungshöhe nach Absatz 1 gilt § 16 Abs. 2 und 4 des Aktiengesetzes entsprechend.</w:t>
      </w:r>
    </w:p>
    <w:p>
      <w:r>
        <w:t xml:space="preserve">(3) Die Art der Abfindung hat der Gegenleistung des Übernahme- oder Pflichtangebots zu entsprechen. Eine Geldleistung ist stets wahlweise anzubieten. Die im Rahmen des Übernahme- oder Pflichtangebots gewährte Gegenleistung ist als angemessene Abfindung anzusehen, wenn der Bieter auf Grund des Angebots Aktien in Höhe von mindestens 90 Prozent des vom Angebot betroffenen Grundkapitals erworben hat. Die Annahmequote ist für stimmberechtigte Aktien und stimmrechtslose Aktien getrennt zu ermitteln.</w:t>
      </w:r>
    </w:p>
    <w:p>
      <w:r>
        <w:t xml:space="preserve">(4) Ein Antrag auf Übertragung der Aktien nach Absatz 1 muss innerhalb von drei Monaten nach Ablauf der Annahmefrist gestellt werden. Der Bieter kann den Antrag stellen, wenn das Übernahme- oder Pflichtangebot in einem Umfang angenommen worden ist, dass ihm beim späteren Vollzug des Angebots Aktien in Höhe des zum Ausschluss mindestens erforderlichen Anteils am stimmberechtigten oder am gesamten Grundkapital der Zielgesellschaft gehören werden.</w:t>
      </w:r>
    </w:p>
    <w:p>
      <w:r>
        <w:t xml:space="preserve">(5) Über den Antrag entscheidet ausschließlich das Landgericht Frankfurt am Main.</w:t>
      </w:r>
    </w:p>
    <w:p>
      <w:r>
        <w:t xml:space="preserve">(6) Die §§ 327a bis 327f des Aktiengesetzes finden nach Stellung eines Antrags bis zum rechtskräftigen Abschluss des Ausschlussverfahrens keine Anwendung.</w:t>
      </w:r>
    </w:p>
    <w:p>
      <w:r>
        <w:rPr>
          <w:color w:val="555555"/>
          <w:sz w:val="17"/>
        </w:rPr>
        <w:t xml:space="preserve">Zitiervorschlag: § 39a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https://recht.nulegal.eu/gesetze/Wp%C3%9CG/39a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