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WpÜG — Nichtberücksichtigung von Stimmrechten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Die Bundesanstalt lässt auf Antrag zu, dass Stimmrechte aus Aktien der Zielgesellschaft bei der Berechnung des Stimmrechtsanteils unberücksichtigt bleiben, wenn die Aktien erlangt wurden durch</w:t>
      </w:r>
    </w:p>
    <w:p>
      <w:pPr>
        <w:ind w:left="420"/>
      </w:pPr>
      <w:r>
        <w:t xml:space="preserve">1. Erbgang, Erbauseinandersetzung oder unentgeltliche Zuwendung unter Ehegatten, Lebenspartnern oder Verwandten in gerader Linie und bis zum dritten Grade oder durch Vermögensauseinandersetzung aus Anlass der Auflösung einer Ehe oder Lebenspartnerschaft,</w:t>
      </w:r>
    </w:p>
    <w:p>
      <w:pPr>
        <w:ind w:left="420"/>
      </w:pPr>
      <w:r>
        <w:t xml:space="preserve">2. Rechtsformwechsel oder</w:t>
      </w:r>
    </w:p>
    <w:p>
      <w:pPr>
        <w:ind w:left="420"/>
      </w:pPr>
      <w:r>
        <w:t xml:space="preserve">3. Umstrukturierungen innerhalb eines Konzerns.</w:t>
      </w:r>
    </w:p>
    <w:p>
      <w:r>
        <w:rPr>
          <w:color w:val="555555"/>
          <w:sz w:val="17"/>
        </w:rPr>
        <w:t xml:space="preserve">Zitiervorschlag: § 36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