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WpÜG — Verpflichtung zur Veröffentlichung und zur Abgabe eines Angebots</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Wer unmittelbar oder mittelbar die Kontrolle über eine Zielgesellschaft erlangt, hat dies unter Angabe der Höhe seines Stimmrechtsanteils unverzüglich, spätestens innerhalb von sieben Arbeitstagen, gemäß § 10 Abs. 3 Satz 1 und 2 zu veröffentlichen. Die Frist beginnt mit dem Zeitpunkt, zu dem der Bieter Kenntnis davon hat oder nach den Umständen haben musste, dass er die Kontrolle über die Zielgesellschaft erlangt hat. In der Veröffentlichung sind die nach § 30 zuzurechnenden Stimmrechte für jeden Zurechnungstatbestand getrennt anzugeben. § 10 Abs. 2, 3 Satz 3 und Abs. 4 bis 6 gilt entsprechend.</w:t>
      </w:r>
    </w:p>
    <w:p>
      <w:r>
        <w:t xml:space="preserve">(2) Der Bieter hat innerhalb von vier Wochen nach der Veröffentlichung der Erlangung der Kontrolle über eine Zielgesellschaft der Bundesanstalt eine Angebotsunterlage zu übermitteln und nach § 14 Abs. 2 Satz 1 ein Angebot zu veröffentlichen. § 14 Absatz 2 Satz 2 bis 4, Abs. 3 und 4 gilt entsprechend. Ausgenommen von der Verpflichtung nach Satz 1 sind eigene Aktien der Zielgesellschaft, Aktien der Zielgesellschaft, die einem abhängigen oder im Mehrheitsbesitz stehenden Unternehmen der Zielgesellschaft gehören, und Aktien der Zielgesellschaft, die einem Dritten gehören, jedoch für Rechnung der Zielgesellschaft, eines abhängigen oder eines im Mehrheitsbesitz stehenden Unternehmens der Zielgesellschaft gehalten werden.</w:t>
      </w:r>
    </w:p>
    <w:p>
      <w:r>
        <w:t xml:space="preserve">(3) Wird die Kontrolle über die Zielgesellschaft auf Grund eines Übernahmeangebots erworben, besteht keine Verpflichtung nach Absatz 1 Satz 1 und Absatz 2 Satz 1.</w:t>
      </w:r>
    </w:p>
    <w:p>
      <w:r>
        <w:rPr>
          <w:color w:val="555555"/>
          <w:sz w:val="17"/>
        </w:rPr>
        <w:t xml:space="preserve">Zitiervorschlag: § 35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