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33b WpÜG — Europäische Durchbrechungsregel</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(1) Die Satzung einer Zielgesellschaft kann vorsehen, dass Absatz 2 Anwendung findet.</w:t>
      </w:r>
    </w:p>
    <w:p>
      <w:r>
        <w:t xml:space="preserve">(2) Nach Veröffentlichung der Angebotsunterlage nach § 14 Abs. 3 Satz 1 gelten die folgenden Bestimmungen:</w:t>
      </w:r>
    </w:p>
    <w:p>
      <w:pPr>
        <w:ind w:left="420"/>
      </w:pPr>
      <w:r>
        <w:t xml:space="preserve">1. während der Annahmefrist eines Übernahmeangebots gelten satzungsmäßige, zwischen der Zielgesellschaft und Aktionären oder zwischen Aktionären vereinbarte Übertragungsbeschränkungen von Aktien nicht gegenüber dem Bieter,</w:t>
      </w:r>
    </w:p>
    <w:p>
      <w:pPr>
        <w:ind w:left="420"/>
      </w:pPr>
      <w:r>
        <w:t xml:space="preserve">2. während der Annahmefrist eines Übernahmeangebots entfalten in einer Hauptversammlung, die über Abwehrmaßnahmen beschließt, Stimmbindungsverträge keine Wirkung und Mehrstimmrechtsaktien berechtigen zu nur einer Stimme und</w:t>
      </w:r>
    </w:p>
    <w:p>
      <w:pPr>
        <w:ind w:left="420"/>
      </w:pPr>
      <w:r>
        <w:t xml:space="preserve">3. in der ersten Hauptversammlung, die auf Verlangen des Bieters einberufen wird, um die Satzung zu ändern oder über die Besetzung der Leitungsorgane der Gesellschaft zu entscheiden, entfalten, sofern der Bieter nach dem Angebot über mindestens 75 Prozent der Stimmrechte der Zielgesellschaft verfügt, Stimmbindungsverträge sowie Entsendungsrechte keine Wirkung und Mehrstimmrechtsaktien berechtigen zu nur einer Stimme.</w:t>
      </w:r>
    </w:p>
    <w:p>
      <w:r>
        <w:t xml:space="preserve">Satz 1 gilt nicht für Vorzugsaktien ohne Stimmrecht sowie für vor dem 22. April 2004 zwischen der Zielgesellschaft und Aktionären oder zwischen Aktionären vereinbarten Übertragungsbeschränkungen und Stimmbindungen.</w:t>
      </w:r>
    </w:p>
    <w:p>
      <w:r>
        <w:t xml:space="preserve">(3) Der Vorstand der Zielgesellschaft hat die Bundesanstalt sowie die Aufsichtsstellen der Staaten des Europäischen Wirtschaftsraums, in denen Wertpapiere der Gesellschaft zum Handel an einem organisierten Markt zugelassen sind, unverzüglich davon zu unterrichten, dass die Zielgesellschaft eine Satzungsbestimmung nach Absatz 1 beschlossen hat.</w:t>
      </w:r>
    </w:p>
    <w:p>
      <w:r>
        <w:t xml:space="preserve">(4) Für die Einberufung und Durchführung der Hauptversammlung im Sinne des Absatzes 2 Satz 1 Nr. 3 gilt § 16 Abs. 4 entsprechend.</w:t>
      </w:r>
    </w:p>
    <w:p>
      <w:r>
        <w:t xml:space="preserve">(5) Werden Rechte auf der Grundlage des Absatzes 1 entzogen, ist der Bieter zu einer angemessenen Entschädigung in Geld verpflichtet, soweit diese Rechte vor der Veröffentlichung der Entscheidung zur Abgabe des Angebots nach § 10 Abs. 1 Satz 1 begründet wurden und der Zielgesellschaft bekannt sind. Der Anspruch auf Entschädigung nach Satz 1 kann nur bis zum Ablauf von zwei Monaten seit dem Entzug der Rechte gerichtlich geltend gemacht werden.</w:t>
      </w:r>
    </w:p>
    <w:p>
      <w:r>
        <w:rPr>
          <w:color w:val="555555"/>
          <w:sz w:val="17"/>
        </w:rPr>
        <w:t xml:space="preserve">Zitiervorschlag: § 33b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https://recht.nulegal.eu/gesetze/Wp%C3%9CG/33b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