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WpÜG — Allgemeine Grundsätze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Inhaber von Wertpapieren der Zielgesellschaft, die derselben Gattung angehören, sind gleich zu behandeln.</w:t>
      </w:r>
    </w:p>
    <w:p>
      <w:r>
        <w:t xml:space="preserve">(2) Inhaber von Wertpapieren der Zielgesellschaft müssen über genügend Zeit und ausreichende Informationen verfügen, um in Kenntnis der Sachlage über das Angebot entscheiden zu können.</w:t>
      </w:r>
    </w:p>
    <w:p>
      <w:r>
        <w:t xml:space="preserve">(3) Vorstand und Aufsichtsrat der Zielgesellschaft müssen im Interesse der Zielgesellschaft handeln.</w:t>
      </w:r>
    </w:p>
    <w:p>
      <w:r>
        <w:t xml:space="preserve">(4) Der Bieter und die Zielgesellschaft haben das Verfahren rasch durchzuführen. Die Zielgesellschaft darf nicht über einen angemessenen Zeitraum hinaus in ihrer Geschäftstätigkeit behindert werden.</w:t>
      </w:r>
    </w:p>
    <w:p>
      <w:r>
        <w:t xml:space="preserve">(5) Beim Handel mit Wertpapieren der Zielgesellschaft, der Bietergesellschaft oder anderer durch das Angebot betroffener Gesellschaften dürfen keine Marktverzerrungen geschaffen werden.</w:t>
      </w:r>
    </w:p>
    <w:p>
      <w:r>
        <w:rPr>
          <w:color w:val="555555"/>
          <w:sz w:val="17"/>
        </w:rPr>
        <w:t xml:space="preserve">Zitiervorschlag: § 3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