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WpÜG — Begriffsbestimmungen</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(1) Übernahmeangebote sind Angebote, die auf den Erwerb der Kontrolle gerichtet sind.</w:t>
      </w:r>
    </w:p>
    <w:p>
      <w:r>
        <w:t xml:space="preserve">(2) Kontrolle ist das Halten von mindestens 30 Prozent der Stimmrechte an der Zielgesellschaft aus dem Bieter gehörenden Aktien der Zielgesellschaft oder dem Bieter nach § 30 zugerechneten Stimmrechten an der Zielgesellschaft. Stimmrechte aus Aktien, die zu einem von einer Kapitalverwaltungsgesellschaft verwalteten Sondervermögen gehören, das kein Spezialsondervermögen ist und dessen Vermögensgegenstände im Miteigentum der Anleger stehen, gelten für die Anwendung von Satz 1 als Stimmrechte der Kapitalverwaltungsgesellschaft.</w:t>
      </w:r>
    </w:p>
    <w:p>
      <w:r>
        <w:rPr>
          <w:color w:val="555555"/>
          <w:sz w:val="17"/>
        </w:rPr>
        <w:t xml:space="preserve">Zitiervorschlag: § 29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