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WpÜG — Sperrfrist</w:t>
      </w:r>
    </w:p>
    <w:p>
      <w:r>
        <w:rPr>
          <w:color w:val="555555"/>
          <w:sz w:val="18"/>
        </w:rPr>
        <w:t xml:space="preserve">Wertpapiererwerbs- und Übernahmegesetz</w:t>
      </w:r>
    </w:p>
    <w:p>
      <w:r>
        <w:rPr>
          <w:color w:val="555555"/>
          <w:sz w:val="18"/>
        </w:rPr>
        <w:t xml:space="preserve">Stand: 01.01.2024 (konsolidierte Textfassung, kein amtliches Inkrafttretensdatum)</w:t>
      </w:r>
    </w:p>
    <w:p>
      <w:r>
        <w:t xml:space="preserve">(1) Ist ein Angebot nach § 15 Absatz 1 oder 2 untersagt worden, ist ein weiteres Angebot an die Aktionäre der Zielgesellschaft sowie die Veröffentlichung einer Entscheidung zur Abgabe eines solchen Angebots gemäß § 10 Absatz 3 Satz 1 vor Ablauf eines Jahres durch folgende Personen unzulässig:</w:t>
      </w:r>
    </w:p>
    <w:p>
      <w:pPr>
        <w:ind w:left="420"/>
      </w:pPr>
      <w:r>
        <w:t xml:space="preserve">1. den Bieter (des untersagten Angebots),</w:t>
      </w:r>
    </w:p>
    <w:p>
      <w:pPr>
        <w:ind w:left="420"/>
      </w:pPr>
      <w:r>
        <w:t xml:space="preserve">2. eine zum Zeitpunkt der Untersagung mit dem Bieter gemeinsam handelnde Person oder</w:t>
      </w:r>
    </w:p>
    <w:p>
      <w:pPr>
        <w:ind w:left="420"/>
      </w:pPr>
      <w:r>
        <w:t xml:space="preserve">3. eine Person, die zum Zeitpunkt der Veröffentlichung nach § 10 Absatz 3 Satz 1 gemeinsam mit dem Bieter oder einer Person nach Nummer 2 gemeinsam handelt.</w:t>
      </w:r>
    </w:p>
    <w:p>
      <w:r>
        <w:t xml:space="preserve">(2) Hat der Bieter ein Angebot von dem Erwerb eines Mindestanteils der Wertpapiere abhängig gemacht und scheitert dieses Angebot, weil dieser Mindestanteil nach Ablauf der Annahmefrist nicht erreicht wurde, ist ein weiteres Angebot an die Aktionäre der Zielgesellschaft sowie die Veröffentlichung einer Entscheidung zur Abgabe eines solchen Angebots gemäß § 10 Absatz 3 Satz 1 vor Ablauf eines Jahres durch folgende Personen unzulässig:</w:t>
      </w:r>
    </w:p>
    <w:p>
      <w:pPr>
        <w:ind w:left="420"/>
      </w:pPr>
      <w:r>
        <w:t xml:space="preserve">1. den Bieter (des gescheiterten Angebots),</w:t>
      </w:r>
    </w:p>
    <w:p>
      <w:pPr>
        <w:ind w:left="420"/>
      </w:pPr>
      <w:r>
        <w:t xml:space="preserve">2. eine Person, die zwischen der Veröffentlichung des gescheiterten Angebots nach § 10 Absatz 3 Satz 1 und dem Ablauf der Annahmefrist mit dem Bieter gemeinsam handelte, oder</w:t>
      </w:r>
    </w:p>
    <w:p>
      <w:pPr>
        <w:ind w:left="420"/>
      </w:pPr>
      <w:r>
        <w:t xml:space="preserve">3. eine Person, die zum Zeitpunkt der Veröffentlichung nach § 10 Absatz 3 Satz 1 gemeinsam mit dem Bieter oder einer Person nach Nummer 2 gemeinsam handelt.</w:t>
      </w:r>
    </w:p>
    <w:p>
      <w:r>
        <w:t xml:space="preserve">(3) Die Jahresfrist nach Absatz 1 beginnt mit dem Tag der Bekanntgabe des Untersagungsbescheides. Die Jahresfrist nach Absatz 2 beginnt mit dem Tag nach Ablauf der Annahmefrist des gescheiterten Angebots.</w:t>
      </w:r>
    </w:p>
    <w:p>
      <w:r>
        <w:t xml:space="preserve">(4) Die Absätze 1 und 2 gelten nicht, wenn der jeweilige Bieter zur Veröffentlichung nach § 35 Absatz 1 Satz 1 und zur Abgabe eines Angebots nach § 35 Absatz 2 Satz 1 verpflichtet ist.</w:t>
      </w:r>
    </w:p>
    <w:p>
      <w:r>
        <w:t xml:space="preserve">(5) Die Bundesanstalt kann den jeweiligen Bieter auf Antrag von dem Verbot nach den Absätzen 1 oder 2 befreien, wenn die Zielgesellschaft der Befreiung zustimmt.</w:t>
      </w:r>
    </w:p>
    <w:p>
      <w:r>
        <w:rPr>
          <w:color w:val="555555"/>
          <w:sz w:val="17"/>
        </w:rPr>
        <w:t xml:space="preserve">Zitiervorschlag: § 26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