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WpÜG — Haftung für die Angebotsunterlage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Sind für die Beurteilung des Angebots wesentliche Angaben der Angebotsunterlage unrichtig oder unvollständig, so kann derjenige, der das Angebot angenommen hat oder dessen Aktien dem Bieter nach § 39a übertragen worden sind,</w:t>
      </w:r>
    </w:p>
    <w:p>
      <w:pPr>
        <w:ind w:left="420"/>
      </w:pPr>
      <w:r>
        <w:t xml:space="preserve">1. von denjenigen, die für die Angebotsunterlage die Verantwortung übernommen haben, und</w:t>
      </w:r>
    </w:p>
    <w:p>
      <w:pPr>
        <w:ind w:left="420"/>
      </w:pPr>
      <w:r>
        <w:t xml:space="preserve">2. von denjenigen, von denen der Erlass der Angebotsunterlage ausgeht,</w:t>
      </w:r>
    </w:p>
    <w:p>
      <w:r>
        <w:t xml:space="preserve">als Gesamtschuldnern den Ersatz des ihm aus der Annahme des Angebots oder Übertragung der Aktien entstandenen Schadens verlangen.</w:t>
      </w:r>
    </w:p>
    <w:p>
      <w:r>
        <w:t xml:space="preserve">(2) Nach Absatz 1 kann nicht in Anspruch genommen werden, wer nachweist, dass er die Unrichtigkeit oder Unvollständigkeit der Angaben der Angebotsunterlage nicht gekannt hat und die Unkenntnis nicht auf grober Fahrlässigkeit beruht.</w:t>
      </w:r>
    </w:p>
    <w:p>
      <w:r>
        <w:t xml:space="preserve">(3) Der Anspruch nach Absatz 1 besteht nicht, sofern</w:t>
      </w:r>
    </w:p>
    <w:p>
      <w:pPr>
        <w:ind w:left="420"/>
      </w:pPr>
      <w:r>
        <w:t xml:space="preserve">1. die Annahme des Angebots nicht auf Grund der Angebotsunterlage erfolgt ist,</w:t>
      </w:r>
    </w:p>
    <w:p>
      <w:pPr>
        <w:ind w:left="420"/>
      </w:pPr>
      <w:r>
        <w:t xml:space="preserve">2. derjenige, der das Angebot angenommen hat, die Unrichtigkeit oder Unvollständigkeit der Angaben der Angebotsunterlage bei der Abgabe der Annahmeerklärung kannte oder</w:t>
      </w:r>
    </w:p>
    <w:p>
      <w:pPr>
        <w:ind w:left="420"/>
      </w:pPr>
      <w:r>
        <w:t xml:space="preserve">3. vor der Annahme des Angebots in einer Veröffentlichung nach Artikel 17 der Verordnung (EU) Nr. 596/2014 oder einer vergleichbaren Bekanntmachung eine deutlich gestaltete Berichtigung der unrichtigen oder unvollständigen Angaben im Inland veröffentlicht wurde.</w:t>
      </w:r>
    </w:p>
    <w:p>
      <w:r>
        <w:t xml:space="preserve">(4) Der Anspruch nach Absatz 1 verjährt in einem Jahr seit dem Zeitpunkt, zu dem derjenige, der das Angebot angenommen hat oder dessen Aktien dem Bieter nach § 39a übertragen worden sind, von der Unrichtigkeit oder Unvollständigkeit der Angaben der Angebotsunterlage Kenntnis erlangt hat, spätestens jedoch in drei Jahren seit der Veröffentlichung der Angebotsunterlage.</w:t>
      </w:r>
    </w:p>
    <w:p>
      <w:r>
        <w:t xml:space="preserve">(5) Eine Vereinbarung, durch die der Anspruch nach Absatz 1 im Voraus ermäßigt oder erlassen wird, ist unwirksam.</w:t>
      </w:r>
    </w:p>
    <w:p>
      <w:r>
        <w:t xml:space="preserve">(6) Weitergehende Ansprüche, die nach den Vorschriften des bürgerlichen Rechts auf Grund von Verträgen oder vorsätzlichen unerlaubten Handlungen erhoben werden können, bleiben unberührt.</w:t>
      </w:r>
    </w:p>
    <w:p>
      <w:r>
        <w:rPr>
          <w:color w:val="555555"/>
          <w:sz w:val="17"/>
        </w:rPr>
        <w:t xml:space="preserve">Zitiervorschlag: § 12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