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11a WpÜG — Europäischer Pass</w:t>
      </w:r>
    </w:p>
    <w:p>
      <w:r>
        <w:rPr>
          <w:color w:val="555555"/>
          <w:sz w:val="18"/>
        </w:rPr>
        <w:t xml:space="preserve">Wertpapiererwerbs- und Übernahmegesetz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von der zuständigen Aufsichtsstelle eines anderen Staates des Europäischen Wirtschaftsraums gebilligte Angebotsunterlage über ein europäisches Angebot zum Erwerb von Wertpapieren einer Zielgesellschaft im Sinne des § 2 Abs. 3 Nr. 2, deren Wertpapiere auch im Inland zum Handel an einem organisierten Markt zugelassen sind, wird im Inland ohne zusätzliches Billigungsverfahren anerkannt.</w:t>
      </w:r>
    </w:p>
    <w:p>
      <w:r>
        <w:rPr>
          <w:color w:val="555555"/>
          <w:sz w:val="17"/>
        </w:rPr>
        <w:t xml:space="preserve">Zitiervorschlag: § 11a WpÜG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https://recht.nulegal.eu/gesetze/Wp%C3%9CG/11a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