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WoweZV (Brandenburg)</w:t>
      </w:r>
    </w:p>
    <w:p>
      <w:r>
        <w:rPr>
          <w:color w:val="555555"/>
          <w:sz w:val="18"/>
        </w:rPr>
        <w:t xml:space="preserve">Wohnungswesenzuständigkeitsverordnung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Örtlich zuständig</w:t>
      </w:r>
    </w:p>
    <w:p>
      <w:r>
        <w:t xml:space="preserve">ist die Stelle, in deren Zuständigkeitsbereich sich die geförderte Wohnung</w:t>
      </w:r>
    </w:p>
    <w:p>
      <w:r>
        <w:t xml:space="preserve">befindet.</w:t>
      </w:r>
    </w:p>
    <w:p>
      <w:r>
        <w:rPr>
          <w:color w:val="555555"/>
          <w:sz w:val="17"/>
        </w:rPr>
        <w:t xml:space="preserve">Zitiervorschlag: § 7 WoweZV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https://recht.nulegal.eu/gesetze/WoweZV/7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