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</w:t>
      </w:r>
    </w:p>
    <w:p>
      <w:r>
        <w:t xml:space="preserve">Stellen im Sinne des § 6 Abs. 1 des Gesetzes zur Förderung des</w:t>
      </w:r>
    </w:p>
    <w:p>
      <w:r>
        <w:t xml:space="preserve">Bergarbeiterwohnungsbaues im Kohlenbergbau sind die Ämter, die amtsfreien</w:t>
      </w:r>
    </w:p>
    <w:p>
      <w:r>
        <w:t xml:space="preserve">Gemeinden und die kreisfreien Städte.</w:t>
      </w:r>
    </w:p>
    <w:p>
      <w:r>
        <w:rPr>
          <w:color w:val="555555"/>
          <w:sz w:val="17"/>
        </w:rPr>
        <w:t xml:space="preserve">Zitiervorschlag: § 5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