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WoweZV (Brandenburg)</w:t>
      </w:r>
    </w:p>
    <w:p>
      <w:r>
        <w:rPr>
          <w:color w:val="555555"/>
          <w:sz w:val="18"/>
        </w:rPr>
        <w:t xml:space="preserve">Wohnungswesenzuständigkeitsverordnung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Aufgaben der zuständigen Verwaltungsbehörden für die Verfolgung und Ahndung</w:t>
      </w:r>
    </w:p>
    <w:p>
      <w:r>
        <w:t xml:space="preserve">von Ordnungswidrigkeiten nach § 26 des Wohnungsbindungsgesetzes und des § 52</w:t>
      </w:r>
    </w:p>
    <w:p>
      <w:r>
        <w:t xml:space="preserve">des Wohnraumförderungsgesetzes nehmen im Rahmen ihrer Zuständigkeit die</w:t>
      </w:r>
    </w:p>
    <w:p>
      <w:r>
        <w:t xml:space="preserve">Landkreise, die Ämter, die amtsfreien Gemeinden oder die kreisfreien Städte</w:t>
      </w:r>
    </w:p>
    <w:p>
      <w:r>
        <w:t xml:space="preserve">wahr, soweit sich aus Absatz 2 nichts anderes ergibt.</w:t>
      </w:r>
    </w:p>
    <w:p>
      <w:r>
        <w:t xml:space="preserve">(2) Für gefördertes</w:t>
      </w:r>
    </w:p>
    <w:p>
      <w:r>
        <w:t xml:space="preserve">selbstgenutztes Wohneigentum im Anwendungsbereich des § 25 Abs. 2 des Wohnraumförderungsgesetzes</w:t>
      </w:r>
    </w:p>
    <w:p>
      <w:r>
        <w:t xml:space="preserve">nimmt die Investitionsbank des Landes Brandenburg die Aufgaben der zuständigen</w:t>
      </w:r>
    </w:p>
    <w:p>
      <w:r>
        <w:t xml:space="preserve">Stelle für die Verfolgung und Ahndung von Ordnungswidrigkeiten nach § 52 des</w:t>
      </w:r>
    </w:p>
    <w:p>
      <w:r>
        <w:t xml:space="preserve">Wohnraumförderungsgesetzes wahr.</w:t>
      </w:r>
    </w:p>
    <w:p>
      <w:r>
        <w:rPr>
          <w:color w:val="555555"/>
          <w:sz w:val="17"/>
        </w:rPr>
        <w:t xml:space="preserve">Zitiervorschlag: § 4 WoweZV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https://recht.nulegal.eu/gesetze/WoweZV/4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