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WoweZV (Brandenburg)</w:t>
      </w:r>
    </w:p>
    <w:p>
      <w:r>
        <w:rPr>
          <w:color w:val="555555"/>
          <w:sz w:val="18"/>
        </w:rPr>
        <w:t xml:space="preserve">Wohnungswesenzuständigkeitsverordnung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</w:t>
      </w:r>
    </w:p>
    <w:p>
      <w:r>
        <w:t xml:space="preserve">Stellen im Sinne des § 25 des Wohnungsbindungsgesetzes sind die Ämter, die</w:t>
      </w:r>
    </w:p>
    <w:p>
      <w:r>
        <w:t xml:space="preserve">amtsfreien Gemeinden und die kreisfreien Städte.</w:t>
      </w:r>
    </w:p>
    <w:p>
      <w:r>
        <w:t xml:space="preserve">(2) Zuständige</w:t>
      </w:r>
    </w:p>
    <w:p>
      <w:r>
        <w:t xml:space="preserve">Stelle nach § 33 des Wohnraumförderungsgesetzes sind die Ämter, amtsfreien</w:t>
      </w:r>
    </w:p>
    <w:p>
      <w:r>
        <w:t xml:space="preserve">Gemeinden und kreisfreien Städte, soweit Verstöße gegen § 27 Abs. 1 oder 6</w:t>
      </w:r>
    </w:p>
    <w:p>
      <w:r>
        <w:t xml:space="preserve">Satz 1 oder § 27 Abs. 7 Satz 1 oder § 27 Abs. 8 sowie § 28 Abs. 2 bis 4</w:t>
      </w:r>
    </w:p>
    <w:p>
      <w:r>
        <w:t xml:space="preserve">des Wohnraumförderungsgesetzes vorliegen.</w:t>
      </w:r>
    </w:p>
    <w:p>
      <w:r>
        <w:t xml:space="preserve">(3) Zuständige</w:t>
      </w:r>
    </w:p>
    <w:p>
      <w:r>
        <w:t xml:space="preserve">Stelle nach § 33 des Wohnraumförderungsgesetzes ist die Investitionsbank des</w:t>
      </w:r>
    </w:p>
    <w:p>
      <w:r>
        <w:t xml:space="preserve">Landes Brandenburg, soweit Verstöße gegen § 32 Abs. 3 Satz 1 vorliegen.</w:t>
      </w:r>
    </w:p>
    <w:p>
      <w:r>
        <w:t xml:space="preserve">Abweichend von Satz 1 sind die Landkreise, die Ämter, die amtsfreien Gemeinden</w:t>
      </w:r>
    </w:p>
    <w:p>
      <w:r>
        <w:t xml:space="preserve">oder die kreisfreien Städte zuständige Stelle, soweit die Wohnungen ausschließlich</w:t>
      </w:r>
    </w:p>
    <w:p>
      <w:r>
        <w:t xml:space="preserve">mit Mitteln der Landkreise, der Ämter, der amtsfreien Gemeinden oder der</w:t>
      </w:r>
    </w:p>
    <w:p>
      <w:r>
        <w:t xml:space="preserve">kreisfreien Städte gefördert worden sind; haben Landkreise, Ämter, amtsfreie</w:t>
      </w:r>
    </w:p>
    <w:p>
      <w:r>
        <w:t xml:space="preserve">Gemeinden oder kreisfreie Städte gemeinsam Mittel zur Verfügung gestellt, so</w:t>
      </w:r>
    </w:p>
    <w:p>
      <w:r>
        <w:t xml:space="preserve">ist diejenige Stelle zuständig, die den überwiegenden Anteil der Mittel zur</w:t>
      </w:r>
    </w:p>
    <w:p>
      <w:r>
        <w:t xml:space="preserve">Verfügung gestellt hat.</w:t>
      </w:r>
    </w:p>
    <w:p>
      <w:r>
        <w:rPr>
          <w:color w:val="555555"/>
          <w:sz w:val="17"/>
        </w:rPr>
        <w:t xml:space="preserve">Zitiervorschlag: § 2 WoweZV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https://recht.nulegal.eu/gesetze/WoweZV/2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