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WohnStG (Nordrhein-Westfalen)</w:t>
      </w:r>
    </w:p>
    <w:p>
      <w:r>
        <w:rPr>
          <w:color w:val="555555"/>
          <w:sz w:val="18"/>
        </w:rPr>
        <w:t xml:space="preserve">Wohnraumstärkungsgesetz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23. Juni 2021</w:t>
      </w:r>
    </w:p>
    <w:p>
      <w:r>
        <w:t xml:space="preserve">Inhaltsübersicht</w:t>
      </w:r>
    </w:p>
    <w:p>
      <w:r>
        <w:t xml:space="preserve">Teil 1</w:t>
      </w:r>
    </w:p>
    <w:p>
      <w:r>
        <w:t xml:space="preserve">Allgemeine Vorschriften</w:t>
      </w:r>
    </w:p>
    <w:p>
      <w:r>
        <w:t xml:space="preserve">§ 1 Grundsätze</w:t>
      </w:r>
    </w:p>
    <w:p>
      <w:r>
        <w:t xml:space="preserve">§ 2 Hilfe bei der Wohnraumbeschaffung</w:t>
      </w:r>
    </w:p>
    <w:p>
      <w:r>
        <w:t xml:space="preserve">§ 3 Begriffe und Anwendbarkeit</w:t>
      </w:r>
    </w:p>
    <w:p>
      <w:r>
        <w:t xml:space="preserve">Teil 2</w:t>
      </w:r>
    </w:p>
    <w:p>
      <w:r>
        <w:t xml:space="preserve">Anforderungen an den Wohnraum</w:t>
      </w:r>
    </w:p>
    <w:p>
      <w:r>
        <w:t xml:space="preserve">§ 4 Anordnungsbefugnis</w:t>
      </w:r>
    </w:p>
    <w:p>
      <w:r>
        <w:t xml:space="preserve">§ 5 Erfüllung von Mindestanforderungen an Wohnraum</w:t>
      </w:r>
    </w:p>
    <w:p>
      <w:r>
        <w:t xml:space="preserve">§ 6 Instandsetzungserfordernis von Wohnraum</w:t>
      </w:r>
    </w:p>
    <w:p>
      <w:r>
        <w:t xml:space="preserve">§ 7 Mindestanforderungen an die Unterbringung in Unterkünften</w:t>
      </w:r>
    </w:p>
    <w:p>
      <w:r>
        <w:t xml:space="preserve">§ 8 Ausnahmen</w:t>
      </w:r>
    </w:p>
    <w:p>
      <w:r>
        <w:t xml:space="preserve">§ 9 Unbewohnbarkeitserklärung</w:t>
      </w:r>
    </w:p>
    <w:p>
      <w:r>
        <w:t xml:space="preserve">§ 10 Belegung</w:t>
      </w:r>
    </w:p>
    <w:p>
      <w:r>
        <w:t xml:space="preserve">§ 11 Benutzung</w:t>
      </w:r>
    </w:p>
    <w:p>
      <w:r>
        <w:t xml:space="preserve">Teil 3</w:t>
      </w:r>
    </w:p>
    <w:p>
      <w:r>
        <w:t xml:space="preserve">Zweckentfremdung von Wohnraum</w:t>
      </w:r>
    </w:p>
    <w:p>
      <w:r>
        <w:t xml:space="preserve">§ 12 Zweckentfremdungssatzung</w:t>
      </w:r>
    </w:p>
    <w:p>
      <w:r>
        <w:t xml:space="preserve">§ 13 Genehmigung</w:t>
      </w:r>
    </w:p>
    <w:p>
      <w:r>
        <w:t xml:space="preserve">§ 14 Nebenbestimmungen</w:t>
      </w:r>
    </w:p>
    <w:p>
      <w:r>
        <w:t xml:space="preserve">§ 15 Wohnnutzungs-, Räumungs- und Wiederherstellungsgebot</w:t>
      </w:r>
    </w:p>
    <w:p>
      <w:r>
        <w:t xml:space="preserve">Teil 4</w:t>
      </w:r>
    </w:p>
    <w:p>
      <w:r>
        <w:t xml:space="preserve">Verfahren</w:t>
      </w:r>
    </w:p>
    <w:p>
      <w:r>
        <w:t xml:space="preserve">§ 16 Allgemeine Auskunftspflicht</w:t>
      </w:r>
    </w:p>
    <w:p>
      <w:r>
        <w:t xml:space="preserve">§ 17 Besondere Pflichten in Gemeinden mit einer Zweckentfremdungssatzung, Wohnraum-Identitätsnummer</w:t>
      </w:r>
    </w:p>
    <w:p>
      <w:r>
        <w:t xml:space="preserve">§ 18 Mitwirkungs- und Duldungspflichten</w:t>
      </w:r>
    </w:p>
    <w:p>
      <w:r>
        <w:t xml:space="preserve">§ 19 Freiwillige Abhilfe, Informationsrecht und Sofortvollzug</w:t>
      </w:r>
    </w:p>
    <w:p>
      <w:r>
        <w:t xml:space="preserve">§ 20 Ersatzvornahme</w:t>
      </w:r>
    </w:p>
    <w:p>
      <w:r>
        <w:t xml:space="preserve">Teil 5</w:t>
      </w:r>
    </w:p>
    <w:p>
      <w:r>
        <w:t xml:space="preserve">Ordnungswidrigkeiten und Schlussvorschriften</w:t>
      </w:r>
    </w:p>
    <w:p>
      <w:r>
        <w:t xml:space="preserve">§ 21 Ordnungswidrigkeiten</w:t>
      </w:r>
    </w:p>
    <w:p>
      <w:r>
        <w:t xml:space="preserve">§ 22 Informationspflichten, Datenübermittlung und Datenverarbeitung</w:t>
      </w:r>
    </w:p>
    <w:p>
      <w:r>
        <w:t xml:space="preserve">§ 23 Einschränkung eines Grundrechts</w:t>
      </w:r>
    </w:p>
    <w:p>
      <w:r>
        <w:t xml:space="preserve">§ 24 Berechnung der Wohn- und Nutzfläche</w:t>
      </w:r>
    </w:p>
    <w:p>
      <w:r>
        <w:t xml:space="preserve">§ 25 Übergangsregelungen</w:t>
      </w:r>
    </w:p>
    <w:p>
      <w:r>
        <w:t xml:space="preserve">§ 26 Fortgeltung von Vorschriften</w:t>
      </w:r>
    </w:p>
    <w:p>
      <w:r>
        <w:t xml:space="preserve">§ 27 Berichtspflicht</w:t>
      </w:r>
    </w:p>
    <w:p>
      <w:r>
        <w:t xml:space="preserve">§ 28 Rechtsverordnungen und Erhebung von Verwaltungsgebühren</w:t>
      </w:r>
    </w:p>
    <w:p>
      <w:r>
        <w:t xml:space="preserve">§ 29 Inkrafttreten</w:t>
      </w:r>
    </w:p>
    <w:p>
      <w:r>
        <w:t xml:space="preserve">Teil 1</w:t>
      </w:r>
    </w:p>
    <w:p>
      <w:r>
        <w:t xml:space="preserve">Allgemeine Vorschriften</w:t>
      </w:r>
    </w:p>
    <w:p>
      <w:r>
        <w:rPr>
          <w:color w:val="555555"/>
          <w:sz w:val="17"/>
        </w:rPr>
        <w:t xml:space="preserve">Zitiervorschlag: Volltext WohnStG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https://recht.nulegal.eu/gesetze/WohnStG/volltext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