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WohnStG (Nordrhein-Westfalen) — Ausnahmen</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Anordnungen nach § 4 kann für die Dauer eines Jahres abgesehen werden, wenn die oder der Verfügungsberechtigte nachgewiesen hat, dass der Wohnraum oder die Unterkunft auf Grund der ihr oder ihm erteilten Genehmigung der zuständigen Behörde anderen als Wohnzwecken zugeführt, insbesondere beseitigt werden darf.</w:t>
      </w:r>
    </w:p>
    <w:p>
      <w:r>
        <w:t xml:space="preserve">(2) Von einer Anordnung ist abzusehen oder eine schon erlassene Anordnung ist aufzuheben, soweit die oder der Verfügungsberechtigte nachweist, dass eine Instandsetzung unter Ausschöpfung aller Finanzierungsmöglichkeiten im Rahmen der Wirtschaftlichkeit des Objekts nicht finanziert werden kann. Dies gilt nicht für Unterkünfte nach § 3 Absatz 3.</w:t>
      </w:r>
    </w:p>
    <w:p>
      <w:r>
        <w:t xml:space="preserve">(3) Das Recht, Maßnahmen zur Abwehr einer Gefahr für die öffentliche Sicherheit oder Ordnung oder zum Schutz der Gesundheit anzuordnen, bleibt unberührt.</w:t>
      </w:r>
    </w:p>
    <w:p>
      <w:r>
        <w:rPr>
          <w:color w:val="555555"/>
          <w:sz w:val="17"/>
        </w:rPr>
        <w:t xml:space="preserve">Zitiervorschlag: § 8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