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WohnStG (Nordrhein-Westfalen) — Inkrafttreten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Gesetz tritt am 1. Juli 2021 in Kraft.</w:t>
      </w:r>
    </w:p>
    <w:p>
      <w:r>
        <w:t xml:space="preserve">(2) Gleichzeitig tritt das Wohnungsaufsichtsgesetz vom 10. April 2014 (GV. NRW. S. 269)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Zugleich für die Ministerin für Schule und Bildung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sowie für den Minister für Bundes- und Europaangelegenheiten sowie Internationales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Kultur und Wissenschaft</w:t>
      </w:r>
    </w:p>
    <w:p>
      <w:r>
        <w:t xml:space="preserve">Zugleich für die Ministerin für Umwelt, Landwirtschaft, Natur- und Verbraucherschutz</w:t>
      </w:r>
    </w:p>
    <w:p>
      <w:r>
        <w:rPr>
          <w:color w:val="555555"/>
          <w:sz w:val="17"/>
        </w:rPr>
        <w:t xml:space="preserve">Zitiervorschlag: § 29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