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WohnStG (Nordrhein-Westfalen) — Rechtsverordnungen und Erhebung von Verwaltungsgebühren</w:t>
      </w:r>
    </w:p>
    <w:p>
      <w:r>
        <w:rPr>
          <w:color w:val="555555"/>
          <w:sz w:val="18"/>
        </w:rPr>
        <w:t xml:space="preserve">Wohnraumstärkungsgesetz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Verwirklichung der in § 7 bezeichneten Anforderungen wird das für Wohnen zuständige Ministerium ermächtigt, durch Rechtsverordnung Vorschriften zu erlassen über</w:t>
      </w:r>
    </w:p>
    <w:p>
      <w:r>
        <w:t xml:space="preserve">1. Umfang und Inhalt der Anzeige sowie der Vorlage nach § 7 Absatz 3 und</w:t>
      </w:r>
    </w:p>
    <w:p>
      <w:r>
        <w:t xml:space="preserve">2. das Verfahren im Einzelnen und zur Datenerhebung.</w:t>
      </w:r>
    </w:p>
    <w:p>
      <w:r>
        <w:t xml:space="preserve">(2) Für Amtshandlungen nach diesem Gesetz können Verwaltungsgebühren erhoben werden. Das für Wohnen zuständige Ministerium wird ermächtigt, die Gebühren durch Rechtsverordnung zu bestimmen.</w:t>
      </w:r>
    </w:p>
    <w:p>
      <w:r>
        <w:rPr>
          <w:color w:val="555555"/>
          <w:sz w:val="17"/>
        </w:rPr>
        <w:t xml:space="preserve">Zitiervorschlag: § 28 WohnStG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https://recht.nulegal.eu/gesetze/WohnStG/28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