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WohnStG (Nordrhein-Westfalen) — Übergangsregelungen</w:t>
      </w:r>
    </w:p>
    <w:p>
      <w:r>
        <w:rPr>
          <w:color w:val="555555"/>
          <w:sz w:val="18"/>
        </w:rPr>
        <w:t xml:space="preserve">Wohnraumstärkungsgesetz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 7 Absatz 3 Satz 4 gilt mit der Maßgabe, dass die Verfügungsberechtigten die Anforderungen gegenüber den Gemeinden bis zum 31. Dezember 2021 nachzuweisen haben. § 82 der Bauordnung für das Land Nordrhein-Westfalen vom 21. Juli 2018 (GV. NRW. 2018 S. 421) in der jeweils geltenden Fassung, bleibt unberührt.</w:t>
      </w:r>
    </w:p>
    <w:p>
      <w:r>
        <w:t xml:space="preserve">(2) Die im Zeitpunkt des Inkrafttretens dieses Gesetzes bereits erlassenen Zweckentfremdungssatzungen bleiben in Kraft. Die Regelungen zur Erteilung und zur Verwendung der Wohnraum-Identitätsnummer in Gemeinden mit einer Zweckentfremdungssatzung sowie zur Anzeige der einzelnen Überlassung nach § 17 Absätze 5 bis 9 sind spätestens zwölf Monate nach Inkrafttreten dieses Gesetzes anzuwenden. Wurde vor dem 1. Juli 2021 bereits eine Genehmigung für die Überlassung von Wohnraum zum Zweck der Kurzzeitvermietung erteilt, wird nach Einführung der Wohnraum-Identitätsnummer auf Antrag unverzüglich eine Nummer vergeben. § 17 Absatz 7 gilt entsprechend.</w:t>
      </w:r>
    </w:p>
    <w:p>
      <w:r>
        <w:rPr>
          <w:color w:val="555555"/>
          <w:sz w:val="17"/>
        </w:rPr>
        <w:t xml:space="preserve">Zitiervorschlag: § 25 WohnStG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https://recht.nulegal.eu/gesetze/WohnStG/25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