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WohnStG (Nordrhein-Westfalen) — Einschränkung eines Grundrechts</w:t>
      </w:r>
    </w:p>
    <w:p>
      <w:r>
        <w:rPr>
          <w:color w:val="555555"/>
          <w:sz w:val="18"/>
        </w:rPr>
        <w:t xml:space="preserve">Wohnraumstärkungsgesetz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Durch dieses Gesetz wird das Grundrecht der Unverletzlichkeit der Wohnung gemäß</w:t>
      </w:r>
    </w:p>
    <w:p>
      <w:r>
        <w:t xml:space="preserve">Artikel 13 des Grundgesetzes für die Bundesrepublik Deutschland eingeschränkt.</w:t>
      </w:r>
    </w:p>
    <w:p>
      <w:r>
        <w:rPr>
          <w:color w:val="555555"/>
          <w:sz w:val="17"/>
        </w:rPr>
        <w:t xml:space="preserve">Zitiervorschlag: § 23 WohnStG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https://recht.nulegal.eu/gesetze/WohnStG/23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