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WohnStG (Nordrhein-Westfalen) — Ordnungswidrigkeiten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einer unanfechtbaren Anordnung der Gemeinde nach §§ 4, 11 Absatz 2, § 15 oder § 18 Absatz 1 nicht oder nicht fristgemäß nachkommt,</w:t>
      </w:r>
    </w:p>
    <w:p>
      <w:r>
        <w:t xml:space="preserve">2. entgegen § 7 Absatz 1 bauliche Anlagen, die als Unterkünfte im Sinne dieses Gesetzes betrieben oder genutzt werden, an gefährdeter Stelle bereitstellt,</w:t>
      </w:r>
    </w:p>
    <w:p>
      <w:r>
        <w:t xml:space="preserve">3. entgegen § 7 Absatz 3 der Anzeigepflicht und Vorlage des Betriebskonzepts nicht, verspätet oder unvollständig nachkommt,</w:t>
      </w:r>
    </w:p>
    <w:p>
      <w:r>
        <w:t xml:space="preserve">4. entgegen § 7 Absatz 3 Satz 3 nicht ständig erreichbar ist,</w:t>
      </w:r>
    </w:p>
    <w:p>
      <w:r>
        <w:t xml:space="preserve">5. einem Verlangen der Gemeinde nach § 9 Absatz 5 oder 6 nicht nachkommt,</w:t>
      </w:r>
    </w:p>
    <w:p>
      <w:r>
        <w:t xml:space="preserve">6. entgegen § 9 Absatz 6 oder § 10 Absatz 1 oder 2 Wohnungen oder Wohnräume überlässt,</w:t>
      </w:r>
    </w:p>
    <w:p>
      <w:r>
        <w:t xml:space="preserve">7. entgegen § 12 Absatz 2 ohne die erforderliche Genehmigung Wohnraum für andere als Wohnzwecke verwendet oder überlässt,</w:t>
      </w:r>
    </w:p>
    <w:p>
      <w:r>
        <w:t xml:space="preserve">8. entgegen § 12 Absatz 3 eine Zweckentfremdung nicht abwendet, obwohl dies zumutbar war,</w:t>
      </w:r>
    </w:p>
    <w:p>
      <w:r>
        <w:t xml:space="preserve">9. entgegen § 14 Absatz 1 einer mit einer Genehmigung verbundenen Auflage nicht, nicht vollständig oder nicht rechtzeitig nachkommt,</w:t>
      </w:r>
    </w:p>
    <w:p>
      <w:r>
        <w:t xml:space="preserve">10. entgegen § 16 Absatz 1 oder § 17 Absatz 4 Auskünfte nicht, nicht richtig oder nicht vollständig gibt, oder Unterlagen nicht oder nicht vollständig vorlegt,</w:t>
      </w:r>
    </w:p>
    <w:p>
      <w:r>
        <w:t xml:space="preserve">11. entgegen § 17 Absatz 1 die Anzeige nicht oder nicht rechtzeitig vornimmt, oder die Angaben nicht oder nicht rechtzeitig macht, oder die Nachweise nicht oder nicht rechtzeitig erbringt,</w:t>
      </w:r>
    </w:p>
    <w:p>
      <w:r>
        <w:t xml:space="preserve">12. entgegen § 17 Absatz 5 Satz 3 auch in Verbindung mit § 17 Absatz 7 oder Absatz 8 die Wohnraum-Identitätsnummer nicht, nicht richtig oder nicht vollständig oder eine ungültige, falsche oder gefälschte Wohnraum-Identitätsnummer angibt,</w:t>
      </w:r>
    </w:p>
    <w:p>
      <w:r>
        <w:t xml:space="preserve">13. entgegen § 17 Absatz 6 Satz 1 die Überlassung von Wohnraum nicht, nicht rechtzeitig oder nicht vollständig angibt,</w:t>
      </w:r>
    </w:p>
    <w:p>
      <w:r>
        <w:t xml:space="preserve">14. einer aufgrund dieses Gesetzes ergangenen Rechtsverordnung zuwiderhandelt, sofern die Rechtsverordnung für einen bestimmten Tatbestand auf diese Bußgeldvorschrift verweist oder</w:t>
      </w:r>
    </w:p>
    <w:p>
      <w:r>
        <w:t xml:space="preserve">15. einer vollziehbaren schriftlichen Anordnung der Gemeinde zuwiderhandelt, die aufgrund dieses Gesetzes oder aufgrund einer nach diesem Gesetz ergangenen Rechtsverordnung erlassen worden ist, sofern die Anordnung auf die Bußgeldvorschrift verweist.</w:t>
      </w:r>
    </w:p>
    <w:p>
      <w:r>
        <w:t xml:space="preserve">In den Fällen des Satzes 1 Nummer 7 ist auch der Versuch ordnungswidrig.</w:t>
      </w:r>
    </w:p>
    <w:p>
      <w:r>
        <w:t xml:space="preserve">(2) Ordnungswidrig handelt ferner, wer vorsätzlich oder fahrlässig</w:t>
      </w:r>
    </w:p>
    <w:p>
      <w:r>
        <w:t xml:space="preserve">1. ohne die erforderliche Genehmigung für die zweckfremde Verwendung des Wohnraums gemäß § 12 Absatz 2 erhalten zu haben, dessen Überlassung zum Zwecke der Kurzzeitvermietung anbietet oder dafür wirbt,</w:t>
      </w:r>
    </w:p>
    <w:p>
      <w:r>
        <w:t xml:space="preserve">2. Angebote oder Werbung im Sinne der Nummer 1 verbreitet oder deren Verbreitung ermöglicht oder</w:t>
      </w:r>
    </w:p>
    <w:p>
      <w:r>
        <w:t xml:space="preserve">3. es entgegen § 17 Absatz 9 ermöglicht oder daran mitwirkt, Angebote oder Werbung ohne Wohnraum-Identitätsnummer zu veröffentlichen oder seiner Entfernungspflicht nach Absatz 3 oder § 17 Absatz 2 Satz 2 nicht nachkommt.</w:t>
      </w:r>
    </w:p>
    <w:p>
      <w:r>
        <w:t xml:space="preserve">Die Ordnungswidrigkeit kann auch dann geahndet werden, wenn sie nicht im Inland begangen wird.</w:t>
      </w:r>
    </w:p>
    <w:p>
      <w:r>
        <w:t xml:space="preserve">(3) Diensteanbieter im Sinne des Telemediengesetzes haben auf Verlangen der Gemeinde Angebote und Werbung, die nach Absatz 1 Satz 1 Nummer 12 oder Absatz 2 ordnungswidrig sind, von den von ihnen betriebenen Internetseiten unverzüglich zu entfernen.</w:t>
      </w:r>
    </w:p>
    <w:p>
      <w:r>
        <w:t xml:space="preserve">(4) Die Ordnungswidrigkeit kann mit einer Geldbuße bis zu fünfhunderttausend Euro geahndet werden.</w:t>
      </w:r>
    </w:p>
    <w:p>
      <w:r>
        <w:t xml:space="preserve">(5) Die Gemeinde ist Verwaltungsbehörde im Sinne des § 36 Absatz 1 Nummer 1 des Gesetzes über Ordnungswidrigkeiten.</w:t>
      </w:r>
    </w:p>
    <w:p>
      <w:r>
        <w:rPr>
          <w:color w:val="555555"/>
          <w:sz w:val="17"/>
        </w:rPr>
        <w:t xml:space="preserve">Zitiervorschlag: § 21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