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WohnStG (Nordrhein-Westfalen) — Ersatzvornahme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Kosten der Ersatzvornahme von Anordnungen nach diesem Gesetz gilt § 59 des Verwaltungsvollstreckungsgesetzes NRW in der Fassung der Bekanntmachung vom</w:t>
      </w:r>
    </w:p>
    <w:p>
      <w:r>
        <w:t xml:space="preserve">19. Februar 2003 (GV. NRW. S. 156, ber. 2005 S. 818), in der jeweils geltenden Fassung.</w:t>
      </w:r>
    </w:p>
    <w:p>
      <w:r>
        <w:t xml:space="preserve">(2) Die Kosten der Ersatzvornahme für Anordnungen nach diesem Gesetz ruhen als öffentliche Last auf dem Grundstück beziehungsweise auf den grundstücksgleichen Rechten.</w:t>
      </w:r>
    </w:p>
    <w:p>
      <w:r>
        <w:t xml:space="preserve">Teil 5</w:t>
      </w:r>
    </w:p>
    <w:p>
      <w:r>
        <w:t xml:space="preserve">Ordnungswidrigkeiten und Schlussvorschriften</w:t>
      </w:r>
    </w:p>
    <w:p>
      <w:r>
        <w:rPr>
          <w:color w:val="555555"/>
          <w:sz w:val="17"/>
        </w:rPr>
        <w:t xml:space="preserve">Zitiervorschlag: § 20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