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WohnStG (Nordrhein-Westfalen) — Allgemeine Auskunftspflicht</w:t>
      </w:r>
    </w:p>
    <w:p>
      <w:r>
        <w:rPr>
          <w:color w:val="555555"/>
          <w:sz w:val="18"/>
        </w:rPr>
        <w:t xml:space="preserve">Wohnraumstärkungsgesetz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Verfügungsberechtigte, Nutzungsberechtigte, Bewohnerinnen und Bewohner, Verwalterinnen und Verwalter, Vermittlerinnen und Vermittler, Arbeitgeberinnen und Arbeitgeber sowie Energie- und Wasserversorger haben unentgeltlich Auskünfte zu geben und Unterlagen vorzulegen, soweit es im Einzelfall zur Durchführung dieses Gesetzes erforderlich ist. Verwalterinnen und Verwalter, Vermittlerinnen und Vermittler, Energie- und Wasserversorger sowie Diensteanbieter nach Absatz 2 sollen nur dann herangezogen werden, wenn und soweit der Sachverhalt dadurch einfacher oder zügiger aufgeklärt werden kann. Satz 1 gilt auch für das Personal und Beauftragte der in Satz 1 und Absatz 2 Satz 1 genannten Auskunftspflichtigen.</w:t>
      </w:r>
    </w:p>
    <w:p>
      <w:r>
        <w:t xml:space="preserve">(2) Absatz 1 Satz 1 gilt auch für Diensteanbieter im Sinne des Telemediengesetzes vom 26. Februar 2007 (BGBl. I S. 179), in der jeweils geltenden Fassung und für die Anbieter von Druckerzeugnissen und anderer Medien. Kommt ein Diensteanbieter seiner Pflicht nach</w:t>
      </w:r>
    </w:p>
    <w:p>
      <w:r>
        <w:t xml:space="preserve">Satz 1 nicht innerhalb von zwei Wochen nach, hat er auf Verlangen der Gemeinde Angebote, Werbung oder weitere Informationen, auf die sich das Auskunftsverlangen bezog, von den von ihm betriebenen Internetseiten unverzüglich zu entfernen.</w:t>
      </w:r>
    </w:p>
    <w:p>
      <w:r>
        <w:rPr>
          <w:color w:val="555555"/>
          <w:sz w:val="17"/>
        </w:rPr>
        <w:t xml:space="preserve">Zitiervorschlag: § 16 WohnStG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https://recht.nulegal.eu/gesetze/WohnStG/16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