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WohnStG (Nordrhein-Westfalen) — Wohnnutzungs-, Räumungs- und Wiederherstellungsgebot</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Wohnraum entgegen § 12 Absatz 2 zu anderen als Wohnzwecken genutzt, so kann die Gemeinde anordnen, dass der Wohnraum wieder Wohnzwecken zuzuführen ist (Wohnnutzungsgebot). Die Gemeinde setzt hierfür eine Frist, die im Regelfall zwei Monate beträgt. Die Gemeinde kann auch die Räumung anordnen (Räumungsgebot).</w:t>
      </w:r>
    </w:p>
    <w:p>
      <w:r>
        <w:t xml:space="preserve">(2) Ist Wohnraum entgegen § 12 Absatz 2 so verändert worden, dass er nicht mehr für Wohnzwecke geeignet ist, so kann die Gemeinde anordnen, dass der frühere Zustand wiederhergestellt oder ein zumindest gleichwertiger Zustand geschaffen wird (Wiederherstellungsgebot). Ein Wiederherstellungsgebot scheidet aus, soweit die Wiederherstellung unzumutbar wäre. Dies ist der Fall, wenn die Herstellungskosten die ortsüblichen Kosten für einen Neubau in gleicher Größe, Ausstattung und am gleichen Standort überschreiten würden. Ist die Wiederherstellung des früheren Zustandes nicht oder nur mit unzumutbarem Aufwand möglich, so kann die Gemeinde die Schaffung von Ersatzwohnraum nach § 13 Absatz 2 oder die Zahlung einer einmaligen Ausgleichszahlung nach § 14 Absatz 1 verlangen.</w:t>
      </w:r>
    </w:p>
    <w:p>
      <w:r>
        <w:t xml:space="preserve">Teil 4</w:t>
      </w:r>
    </w:p>
    <w:p>
      <w:r>
        <w:t xml:space="preserve">Verfahren</w:t>
      </w:r>
    </w:p>
    <w:p>
      <w:r>
        <w:rPr>
          <w:color w:val="555555"/>
          <w:sz w:val="17"/>
        </w:rPr>
        <w:t xml:space="preserve">Zitiervorschlag: § 15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