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WohnStG (Nordrhein-Westfalen) — Nebenbestimmungen</w:t>
      </w:r>
    </w:p>
    <w:p>
      <w:r>
        <w:rPr>
          <w:color w:val="555555"/>
          <w:sz w:val="18"/>
        </w:rPr>
        <w:t xml:space="preserve">Wohnraumstärkungsgesetz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Genehmigung kann der oder dem Verfügungsberechtigten sowie der oder dem Nutzungsberechtigten befristet, bedingt oder unter Auflagen, insbesondere zur Leistung einer einmaligen oder laufenden Ausgleichszahlung, erteilt werden. Das Ersatzwohnraumangebot kann durch Nebenbestimmungen gesichert werden.</w:t>
      </w:r>
    </w:p>
    <w:p>
      <w:r>
        <w:t xml:space="preserve">(2) Die Höhe der Ausgleichszahlung soll den Schaden, der dem Wohnungsmarkt durch die Zweckentfremdung des Wohnraums entsteht, ausgleichen. Die Ausgleichszahlung kann im Einzelfall abgesenkt werden, insbesondere, wenn bei gewerblicher oder beruflicher Nutzung die Festsetzung einer Ausgleichszahlung in voller Höhe nachweislich zu einer Existenzgefährdung oder Abwanderung führen würde. Das Gleiche gilt, wenn die Zweckentfremdung nachweislich in erheblichem Maße der Sicherung bestehender oder der Schaffung neuer Arbeitsplätze dient.</w:t>
      </w:r>
    </w:p>
    <w:p>
      <w:r>
        <w:rPr>
          <w:color w:val="555555"/>
          <w:sz w:val="17"/>
        </w:rPr>
        <w:t xml:space="preserve">Zitiervorschlag: § 14 WohnStG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https://recht.nulegal.eu/gesetze/WohnStG/14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