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WohnStG (Nordrhein-Westfalen) — Genehmigung</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Genehmigung nach § 12 ist auf Antrag der oder des Verfügungsberechtigten zu erteilen, wenn ein öffentliches oder ein berechtigtes Interesse Verfügungsberechtigter oder Nutzungsberechtigter an der zweckfremden Nutzung vorliegt, welches das öffentliche Interesse am Erhalt der Wohnnutzung überwiegt. Die oder der Nutzungsberechtigte darf im Einvernehmen mit der oder dem Verfügungsberechtigten einen Antrag nach Satz 1 stellen.</w:t>
      </w:r>
    </w:p>
    <w:p>
      <w:r>
        <w:t xml:space="preserve">(2) Ein beachtliches Angebot zur Bereitstellung von Ersatzwohnraum gleicht das öffentliche Interesse an der Erhaltung des Wohnraums in der Regel aus. Ein beachtliches Angebot im Sinne dieses Gesetzes liegt vor, wenn</w:t>
      </w:r>
    </w:p>
    <w:p>
      <w:r>
        <w:t xml:space="preserve">1. der Ersatzwohnraum innerhalb des Geltungsbereiches der Gemeinde geschaffen wird,</w:t>
      </w:r>
    </w:p>
    <w:p>
      <w:r>
        <w:t xml:space="preserve">2. zwischen der Zweckentfremdung und der Bereitstellung von Ersatzwohnraum ein zeitlicher Zusammenhang besteht,</w:t>
      </w:r>
    </w:p>
    <w:p>
      <w:r>
        <w:t xml:space="preserve">3. die Verfügungsberechtigung über den zweckentfremdeten und den Ersatzwohnraum übereinstimmt,</w:t>
      </w:r>
    </w:p>
    <w:p>
      <w:r>
        <w:t xml:space="preserve">4. der Ersatzwohnraum nicht kleiner als der durch die Zweckentfremdung entfallende Wohnraum ist,</w:t>
      </w:r>
    </w:p>
    <w:p>
      <w:r>
        <w:t xml:space="preserve">5. der Ersatzwohnraum nicht als Luxuswohnraum anzusehen ist, der den Standard des durch die Zweckentfremdung entfallenden Wohnraums in besonders erheblicher Weise überschreitet, und</w:t>
      </w:r>
    </w:p>
    <w:p>
      <w:r>
        <w:t xml:space="preserve">6. der Ersatzwohnraum dem Wohnungsmarkt in gleicher Weise wie der durch die Zweckentfremdung entfallende Wohnraum zu Verfügung steht.</w:t>
      </w:r>
    </w:p>
    <w:p>
      <w:r>
        <w:t xml:space="preserve">(3) Über den Antrag auf Erteilung einer Genehmigung nach Absatz 1 entscheidet die Gemeinde nach Vorlage der vollständigen Unterlagen innerhalb einer Frist von drei Monaten. Nach Ablauf der Frist gilt die Genehmigung als erteilt. Eine von Satz 1 abweichende Frist kann die Gemeinde in der Zweckentfremdungssatzung festsetzen.</w:t>
      </w:r>
    </w:p>
    <w:p>
      <w:r>
        <w:rPr>
          <w:color w:val="555555"/>
          <w:sz w:val="17"/>
        </w:rPr>
        <w:t xml:space="preserve">Zitiervorschlag: § 13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