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WohnStG (Nordrhein-Westfalen) — Zweckentfremdungssatzung</w:t>
      </w:r>
    </w:p>
    <w:p>
      <w:r>
        <w:rPr>
          <w:color w:val="555555"/>
          <w:sz w:val="18"/>
        </w:rPr>
        <w:t xml:space="preserve">Wohnraumstärkungsgesetz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Gemeinden können für Gebiete, in denen die ausreichende Versorgung der Bevölkerung mit Mietwohnungen zu angemessenen Bedingungen besonders gefährdet ist und die in einer Landesverordnung gegenständlich sind, oder für Gebiete mit erhöhtem Wohnungsbedarf durch Satzung mit einer Geltungsdauer von höchstens fünf Jahren bestimmen, dass Wohnraum nur mit ihrer Genehmigung überwiegend anderen als Wohnzwecken zugeführt werden darf. Die Gemeinden haben in der Satzung nach Satz 1 darzulegen, welche Maßnahmen sie ergreifen, um die Versorgung der Bevölkerung mit Wohnraum in dem in der Satzung bestimmten Zeitraum zu verbessern. Sie können zu den nachfolgenden Bestimmungen Näheres in den Satzungen regeln, soweit sie den gesetzlichen Regelungen nicht widersprechen.</w:t>
      </w:r>
    </w:p>
    <w:p>
      <w:r>
        <w:t xml:space="preserve">(2) Eine Zweckentfremdung im Sinne dieses Gesetzes liegt vor, wenn Wohnraum zu anderen als Wohnzwecken verwendet wird. Ohne Genehmigung verboten ist jedes Handeln oder Unterlassen Verfügungsberechtigter oder Nutzungsberechtigter, durch das Wohnraum seiner eigentlichen Zweckbestimmung entzogen wird. Als Zweckentfremdung gelten insbesondere</w:t>
      </w:r>
    </w:p>
    <w:p>
      <w:r>
        <w:t xml:space="preserve">1. die Verwendung oder Überlassung zu mehr als 50 Prozent der Gesamtwohnfläche für gewerbliche oder berufliche Zwecke,</w:t>
      </w:r>
    </w:p>
    <w:p>
      <w:r>
        <w:t xml:space="preserve">2. die Nutzung von Wohnraum für mehr als drei Monate, längstens 90 Tage, im Kalenderjahr für Zwecke der Kurzzeitvermietung,</w:t>
      </w:r>
    </w:p>
    <w:p>
      <w:r>
        <w:t xml:space="preserve">3. die Beseitigung von Wohnraum,</w:t>
      </w:r>
    </w:p>
    <w:p>
      <w:r>
        <w:t xml:space="preserve">4. die bauliche Veränderung oder Umnutzung von Wohnraum, so dass dieser für Wohnzwecke nicht mehr geeignet ist oder</w:t>
      </w:r>
    </w:p>
    <w:p>
      <w:r>
        <w:t xml:space="preserve">5. das Leerstehenlassen von Wohnraum über einen Zeitraum von länger als sechs Monaten.</w:t>
      </w:r>
    </w:p>
    <w:p>
      <w:r>
        <w:t xml:space="preserve">Abweichend von Satz 3 Nummer 2 gilt für Wohnraum, den Studierende angemietet haben, als Zweckentfremdung die Nutzung für Zwecke der Kurzzeitvermietung für mehr als sechs Monate, längstens jedoch 180 Tage.</w:t>
      </w:r>
    </w:p>
    <w:p>
      <w:r>
        <w:t xml:space="preserve">Als Beginn des Leerstehenlassens von Wohnraum gilt grundsätzlich das Ende des letzten Mietverhältnisses, bei Neubauten der Zeitpunkt der Bezugsfertigkeit.</w:t>
      </w:r>
    </w:p>
    <w:p>
      <w:r>
        <w:t xml:space="preserve">(3) Verfügungsberechtigte haben die Verpflichtung, Zweckentfremdungen im Sinne dieses Gesetzes abzuwenden. Wenn Um- oder Neubaumaßnahmen geplant sind, und diese Maßnahmen durch ein unbefristetes Mietverhältnis erheblich erschwert würden, kann die Gemeinde in der Satzung nach Absatz 1 vorsehen, dass der Abschluss von Zeitmietverträgen (Zwischenvermietung) oder eine andere Zwischennutzung zu Wohnzwecken zur Abwendung von Zweckentfremdungen durch Leerstehenlassen grundsätzlich zumutbar ist. Eine Zwischennutzung ist insbesondere dann nicht zumutbar, wenn Belange der Schaffung und Erhaltung sozial stabiler Bewohnerstrukturen entgegenstehen.</w:t>
      </w:r>
    </w:p>
    <w:p>
      <w:r>
        <w:rPr>
          <w:color w:val="555555"/>
          <w:sz w:val="17"/>
        </w:rPr>
        <w:t xml:space="preserve">Zitiervorschlag: § 12 WohnStG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https://recht.nulegal.eu/gesetze/WohnStG/12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