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WohnStG (Nordrhein-Westfalen) — Benutzung</w:t>
      </w:r>
    </w:p>
    <w:p>
      <w:r>
        <w:rPr>
          <w:color w:val="555555"/>
          <w:sz w:val="18"/>
        </w:rPr>
        <w:t xml:space="preserve">Wohnraumstärkungsgesetz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Wohnraum oder in Unterkünften dürfen</w:t>
      </w:r>
    </w:p>
    <w:p>
      <w:r>
        <w:t xml:space="preserve">1. Gegenstände oder Stoffe nicht so und nicht in solchen Mengen gelagert und</w:t>
      </w:r>
    </w:p>
    <w:p>
      <w:r>
        <w:t xml:space="preserve">2. Tiere nicht von solcher Art und nicht in solcher Zahl gehalten werden,</w:t>
      </w:r>
    </w:p>
    <w:p>
      <w:r>
        <w:t xml:space="preserve">dass die Bewohnerinnen oder Bewohner oder Dritte gefährdet oder unzumutbar belästigt werden.</w:t>
      </w:r>
    </w:p>
    <w:p>
      <w:r>
        <w:t xml:space="preserve">(2) Die Gemeinde kann Maßnahmen anordnen, die zur Herstellung eines den Anforderungen des Absatzes 1 entsprechenden Zustandes erforderlich sind. Die Anordnungen müssen sich an die Verursacherin oder den Verursacher oder an die Verfügungsberechtigte oder den Verfügungsberechtigten richten.</w:t>
      </w:r>
    </w:p>
    <w:p>
      <w:r>
        <w:t xml:space="preserve">(3) § 5 Absatz 2 gilt entsprechend.</w:t>
      </w:r>
    </w:p>
    <w:p>
      <w:r>
        <w:t xml:space="preserve">Teil 3</w:t>
      </w:r>
    </w:p>
    <w:p>
      <w:r>
        <w:t xml:space="preserve">Zweckentfremdung von Wohnraum</w:t>
      </w:r>
    </w:p>
    <w:p>
      <w:r>
        <w:rPr>
          <w:color w:val="555555"/>
          <w:sz w:val="17"/>
        </w:rPr>
        <w:t xml:space="preserve">Zitiervorschlag: § 11 WohnStG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https://recht.nulegal.eu/gesetze/WohnStG/11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